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EFF"/>
          <w:sz w:val="22"/>
        </w:rPr>
        <w:t>AI HACKATHON 2026</w:t>
      </w:r>
    </w:p>
    <w:p>
      <w:r>
        <w:br/>
      </w:r>
    </w:p>
    <w:p>
      <w:pPr>
        <w:jc w:val="center"/>
      </w:pPr>
      <w:r>
        <w:rPr>
          <w:b/>
          <w:color w:val="10233F"/>
          <w:sz w:val="64"/>
        </w:rPr>
        <w:t>MERCHANT &amp; AGENT</w:t>
        <w:br/>
        <w:t>INTELLIGENCE</w:t>
      </w:r>
    </w:p>
    <w:p>
      <w:pPr>
        <w:jc w:val="center"/>
      </w:pPr>
      <w:r>
        <w:rPr>
          <w:b/>
          <w:color w:val="1F5EFF"/>
          <w:sz w:val="34"/>
        </w:rPr>
        <w:t>Software Requirements Specification (SRS)</w:t>
      </w:r>
    </w:p>
    <w:p>
      <w:pPr>
        <w:jc w:val="center"/>
      </w:pPr>
      <w:r>
        <w:rPr>
          <w:color w:val="5D6B7A"/>
          <w:sz w:val="22"/>
        </w:rPr>
        <w:t>A production-oriented AI command center for a modern Mobile Financial Services ecosystem</w:t>
      </w:r>
    </w:p>
    <w:p>
      <w:r>
        <w:br/>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Document</w:t>
            </w:r>
          </w:p>
        </w:tc>
        <w:tc>
          <w:tcPr>
            <w:tcW w:type="dxa" w:w="5083"/>
            <w:vAlign w:val="center"/>
            <w:shd w:fill="10233F"/>
          </w:tcPr>
          <w:p>
            <w:pPr>
              <w:spacing w:after="20"/>
            </w:pPr>
            <w:r/>
            <w:r>
              <w:rPr>
                <w:b/>
                <w:color w:val="FFFFFF"/>
                <w:sz w:val="16"/>
              </w:rPr>
              <w:t>Value</w:t>
            </w:r>
          </w:p>
        </w:tc>
      </w:tr>
      <w:tr>
        <w:tc>
          <w:tcPr>
            <w:tcW w:type="dxa" w:w="5083"/>
            <w:vAlign w:val="center"/>
          </w:tcPr>
          <w:p>
            <w:pPr>
              <w:spacing w:after="20"/>
            </w:pPr>
            <w:r/>
            <w:r>
              <w:rPr>
                <w:b w:val="0"/>
                <w:color w:val="172033"/>
                <w:sz w:val="15"/>
              </w:rPr>
              <w:t>Track</w:t>
            </w:r>
          </w:p>
        </w:tc>
        <w:tc>
          <w:tcPr>
            <w:tcW w:type="dxa" w:w="5083"/>
            <w:vAlign w:val="center"/>
          </w:tcPr>
          <w:p>
            <w:pPr>
              <w:spacing w:after="20"/>
            </w:pPr>
            <w:r/>
            <w:r>
              <w:rPr>
                <w:b w:val="0"/>
                <w:color w:val="172033"/>
                <w:sz w:val="15"/>
              </w:rPr>
              <w:t>05 — Merchant &amp; Agent Intelligence</w:t>
            </w:r>
          </w:p>
        </w:tc>
      </w:tr>
      <w:tr>
        <w:tc>
          <w:tcPr>
            <w:tcW w:type="dxa" w:w="5083"/>
            <w:vAlign w:val="center"/>
            <w:shd w:fill="F7F9FC"/>
          </w:tcPr>
          <w:p>
            <w:pPr>
              <w:spacing w:after="20"/>
            </w:pPr>
            <w:r/>
            <w:r>
              <w:rPr>
                <w:b w:val="0"/>
                <w:color w:val="172033"/>
                <w:sz w:val="15"/>
              </w:rPr>
              <w:t>System working title</w:t>
            </w:r>
          </w:p>
        </w:tc>
        <w:tc>
          <w:tcPr>
            <w:tcW w:type="dxa" w:w="5083"/>
            <w:vAlign w:val="center"/>
            <w:shd w:fill="F7F9FC"/>
          </w:tcPr>
          <w:p>
            <w:pPr>
              <w:spacing w:after="20"/>
            </w:pPr>
            <w:r/>
            <w:r>
              <w:rPr>
                <w:b w:val="0"/>
                <w:color w:val="172033"/>
                <w:sz w:val="15"/>
              </w:rPr>
              <w:t>MFS Merchant &amp; Agent Intelligence Command Center</w:t>
            </w:r>
          </w:p>
        </w:tc>
      </w:tr>
      <w:tr>
        <w:tc>
          <w:tcPr>
            <w:tcW w:type="dxa" w:w="5083"/>
            <w:vAlign w:val="center"/>
          </w:tcPr>
          <w:p>
            <w:pPr>
              <w:spacing w:after="20"/>
            </w:pPr>
            <w:r/>
            <w:r>
              <w:rPr>
                <w:b w:val="0"/>
                <w:color w:val="172033"/>
                <w:sz w:val="15"/>
              </w:rPr>
              <w:t>Document version</w:t>
            </w:r>
          </w:p>
        </w:tc>
        <w:tc>
          <w:tcPr>
            <w:tcW w:type="dxa" w:w="5083"/>
            <w:vAlign w:val="center"/>
          </w:tcPr>
          <w:p>
            <w:pPr>
              <w:spacing w:after="20"/>
            </w:pPr>
            <w:r/>
            <w:r>
              <w:rPr>
                <w:b w:val="0"/>
                <w:color w:val="172033"/>
                <w:sz w:val="15"/>
              </w:rPr>
              <w:t>1.0 — Competition / Prototype Baseline</w:t>
            </w:r>
          </w:p>
        </w:tc>
      </w:tr>
      <w:tr>
        <w:tc>
          <w:tcPr>
            <w:tcW w:type="dxa" w:w="5083"/>
            <w:vAlign w:val="center"/>
            <w:shd w:fill="F7F9FC"/>
          </w:tcPr>
          <w:p>
            <w:pPr>
              <w:spacing w:after="20"/>
            </w:pPr>
            <w:r/>
            <w:r>
              <w:rPr>
                <w:b w:val="0"/>
                <w:color w:val="172033"/>
                <w:sz w:val="15"/>
              </w:rPr>
              <w:t>Architecture posture</w:t>
            </w:r>
          </w:p>
        </w:tc>
        <w:tc>
          <w:tcPr>
            <w:tcW w:type="dxa" w:w="5083"/>
            <w:vAlign w:val="center"/>
            <w:shd w:fill="F7F9FC"/>
          </w:tcPr>
          <w:p>
            <w:pPr>
              <w:spacing w:after="20"/>
            </w:pPr>
            <w:r/>
            <w:r>
              <w:rPr>
                <w:b w:val="0"/>
                <w:color w:val="172033"/>
                <w:sz w:val="15"/>
              </w:rPr>
              <w:t>Modular monolith for prototype; service-ready boundaries for scale</w:t>
            </w:r>
          </w:p>
        </w:tc>
      </w:tr>
      <w:tr>
        <w:tc>
          <w:tcPr>
            <w:tcW w:type="dxa" w:w="5083"/>
            <w:vAlign w:val="center"/>
          </w:tcPr>
          <w:p>
            <w:pPr>
              <w:spacing w:after="20"/>
            </w:pPr>
            <w:r/>
            <w:r>
              <w:rPr>
                <w:b w:val="0"/>
                <w:color w:val="172033"/>
                <w:sz w:val="15"/>
              </w:rPr>
              <w:t>Primary personas</w:t>
            </w:r>
          </w:p>
        </w:tc>
        <w:tc>
          <w:tcPr>
            <w:tcW w:type="dxa" w:w="5083"/>
            <w:vAlign w:val="center"/>
          </w:tcPr>
          <w:p>
            <w:pPr>
              <w:spacing w:after="20"/>
            </w:pPr>
            <w:r/>
            <w:r>
              <w:rPr>
                <w:b w:val="0"/>
                <w:color w:val="172033"/>
                <w:sz w:val="15"/>
              </w:rPr>
              <w:t>Merchant, Agent, MFS Operations Analyst, Regional Manager, Administrator</w:t>
            </w:r>
          </w:p>
        </w:tc>
      </w:tr>
      <w:tr>
        <w:tc>
          <w:tcPr>
            <w:tcW w:type="dxa" w:w="5083"/>
            <w:vAlign w:val="center"/>
            <w:shd w:fill="F7F9FC"/>
          </w:tcPr>
          <w:p>
            <w:pPr>
              <w:spacing w:after="20"/>
            </w:pPr>
            <w:r/>
            <w:r>
              <w:rPr>
                <w:b w:val="0"/>
                <w:color w:val="172033"/>
                <w:sz w:val="15"/>
              </w:rPr>
              <w:t>Data policy</w:t>
            </w:r>
          </w:p>
        </w:tc>
        <w:tc>
          <w:tcPr>
            <w:tcW w:type="dxa" w:w="5083"/>
            <w:vAlign w:val="center"/>
            <w:shd w:fill="F7F9FC"/>
          </w:tcPr>
          <w:p>
            <w:pPr>
              <w:spacing w:after="20"/>
            </w:pPr>
            <w:r/>
            <w:r>
              <w:rPr>
                <w:b w:val="0"/>
                <w:color w:val="172033"/>
                <w:sz w:val="15"/>
              </w:rPr>
              <w:t>Synthetic/public/self-generated data only during hackathon</w:t>
            </w:r>
          </w:p>
        </w:tc>
      </w:tr>
      <w:tr>
        <w:tc>
          <w:tcPr>
            <w:tcW w:type="dxa" w:w="5083"/>
            <w:vAlign w:val="center"/>
          </w:tcPr>
          <w:p>
            <w:pPr>
              <w:spacing w:after="20"/>
            </w:pPr>
            <w:r/>
            <w:r>
              <w:rPr>
                <w:b w:val="0"/>
                <w:color w:val="172033"/>
                <w:sz w:val="15"/>
              </w:rPr>
              <w:t>Core quality goals</w:t>
            </w:r>
          </w:p>
        </w:tc>
        <w:tc>
          <w:tcPr>
            <w:tcW w:type="dxa" w:w="5083"/>
            <w:vAlign w:val="center"/>
          </w:tcPr>
          <w:p>
            <w:pPr>
              <w:spacing w:after="20"/>
            </w:pPr>
            <w:r/>
            <w:r>
              <w:rPr>
                <w:b w:val="0"/>
                <w:color w:val="172033"/>
                <w:sz w:val="15"/>
              </w:rPr>
              <w:t>Useful • Explainable • Secure • Reliable • Responsive • Integration-ready</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8F7F4"/>
          </w:tcPr>
          <w:p>
            <w:r/>
            <w:r>
              <w:rPr>
                <w:b/>
                <w:color w:val="1F5EFF"/>
              </w:rPr>
              <w:t xml:space="preserve">DESIGN NORTH STAR  </w:t>
            </w:r>
            <w:r>
              <w:rPr>
                <w:color w:val="172033"/>
                <w:sz w:val="18"/>
              </w:rPr>
              <w:t>Turn every forecast or risk signal into an explainable next action. The product must not stop at charts or model scores.</w:t>
            </w:r>
          </w:p>
        </w:tc>
      </w:tr>
    </w:tbl>
    <w:p>
      <w:pPr>
        <w:spacing w:after="20"/>
      </w:pPr>
    </w:p>
    <w:p>
      <w:pPr>
        <w:jc w:val="center"/>
      </w:pPr>
      <w:r>
        <w:rPr>
          <w:i/>
          <w:color w:val="5D6B7A"/>
          <w:sz w:val="17"/>
        </w:rPr>
        <w:t>Prepared as a professional SRS aligned to the DIU CPC × upay AI Hackathon 2026 guideline.</w:t>
      </w:r>
    </w:p>
    <w:p>
      <w:r>
        <w:br w:type="page"/>
      </w:r>
    </w:p>
    <w:p>
      <w:pPr>
        <w:pStyle w:val="Title"/>
      </w:pPr>
      <w:r>
        <w:t>Document Control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Field</w:t>
            </w:r>
          </w:p>
        </w:tc>
        <w:tc>
          <w:tcPr>
            <w:tcW w:type="dxa" w:w="5083"/>
            <w:vAlign w:val="center"/>
            <w:shd w:fill="10233F"/>
          </w:tcPr>
          <w:p>
            <w:pPr>
              <w:spacing w:after="20"/>
            </w:pPr>
            <w:r/>
            <w:r>
              <w:rPr>
                <w:b/>
                <w:color w:val="FFFFFF"/>
                <w:sz w:val="16"/>
              </w:rPr>
              <w:t>Specification</w:t>
            </w:r>
          </w:p>
        </w:tc>
      </w:tr>
      <w:tr>
        <w:tc>
          <w:tcPr>
            <w:tcW w:type="dxa" w:w="5083"/>
            <w:vAlign w:val="center"/>
          </w:tcPr>
          <w:p>
            <w:pPr>
              <w:spacing w:after="20"/>
            </w:pPr>
            <w:r/>
            <w:r>
              <w:rPr>
                <w:b w:val="0"/>
                <w:color w:val="172033"/>
                <w:sz w:val="15"/>
              </w:rPr>
              <w:t>Purpose</w:t>
            </w:r>
          </w:p>
        </w:tc>
        <w:tc>
          <w:tcPr>
            <w:tcW w:type="dxa" w:w="5083"/>
            <w:vAlign w:val="center"/>
          </w:tcPr>
          <w:p>
            <w:pPr>
              <w:spacing w:after="20"/>
            </w:pPr>
            <w:r/>
            <w:r>
              <w:rPr>
                <w:b w:val="0"/>
                <w:color w:val="172033"/>
                <w:sz w:val="15"/>
              </w:rPr>
              <w:t>Define complete functional, AI/ML, data, security, UX, API, operational and acceptance requirements for Track 05.</w:t>
            </w:r>
          </w:p>
        </w:tc>
      </w:tr>
      <w:tr>
        <w:tc>
          <w:tcPr>
            <w:tcW w:type="dxa" w:w="5083"/>
            <w:vAlign w:val="center"/>
            <w:shd w:fill="F7F9FC"/>
          </w:tcPr>
          <w:p>
            <w:pPr>
              <w:spacing w:after="20"/>
            </w:pPr>
            <w:r/>
            <w:r>
              <w:rPr>
                <w:b w:val="0"/>
                <w:color w:val="172033"/>
                <w:sz w:val="15"/>
              </w:rPr>
              <w:t>Audience</w:t>
            </w:r>
          </w:p>
        </w:tc>
        <w:tc>
          <w:tcPr>
            <w:tcW w:type="dxa" w:w="5083"/>
            <w:vAlign w:val="center"/>
            <w:shd w:fill="F7F9FC"/>
          </w:tcPr>
          <w:p>
            <w:pPr>
              <w:spacing w:after="20"/>
            </w:pPr>
            <w:r/>
            <w:r>
              <w:rPr>
                <w:b w:val="0"/>
                <w:color w:val="172033"/>
                <w:sz w:val="15"/>
              </w:rPr>
              <w:t>Team members, judges, developers, ML engineers, UI/UX designers, security reviewers, future product stakeholders.</w:t>
            </w:r>
          </w:p>
        </w:tc>
      </w:tr>
      <w:tr>
        <w:tc>
          <w:tcPr>
            <w:tcW w:type="dxa" w:w="5083"/>
            <w:vAlign w:val="center"/>
          </w:tcPr>
          <w:p>
            <w:pPr>
              <w:spacing w:after="20"/>
            </w:pPr>
            <w:r/>
            <w:r>
              <w:rPr>
                <w:b w:val="0"/>
                <w:color w:val="172033"/>
                <w:sz w:val="15"/>
              </w:rPr>
              <w:t>Normative terms</w:t>
            </w:r>
          </w:p>
        </w:tc>
        <w:tc>
          <w:tcPr>
            <w:tcW w:type="dxa" w:w="5083"/>
            <w:vAlign w:val="center"/>
          </w:tcPr>
          <w:p>
            <w:pPr>
              <w:spacing w:after="20"/>
            </w:pPr>
            <w:r/>
            <w:r>
              <w:rPr>
                <w:b w:val="0"/>
                <w:color w:val="172033"/>
                <w:sz w:val="15"/>
              </w:rPr>
              <w:t>SHALL = mandatory; SHOULD = recommended; MAY = optional.</w:t>
            </w:r>
          </w:p>
        </w:tc>
      </w:tr>
      <w:tr>
        <w:tc>
          <w:tcPr>
            <w:tcW w:type="dxa" w:w="5083"/>
            <w:vAlign w:val="center"/>
            <w:shd w:fill="F7F9FC"/>
          </w:tcPr>
          <w:p>
            <w:pPr>
              <w:spacing w:after="20"/>
            </w:pPr>
            <w:r/>
            <w:r>
              <w:rPr>
                <w:b w:val="0"/>
                <w:color w:val="172033"/>
                <w:sz w:val="15"/>
              </w:rPr>
              <w:t>Source baseline</w:t>
            </w:r>
          </w:p>
        </w:tc>
        <w:tc>
          <w:tcPr>
            <w:tcW w:type="dxa" w:w="5083"/>
            <w:vAlign w:val="center"/>
            <w:shd w:fill="F7F9FC"/>
          </w:tcPr>
          <w:p>
            <w:pPr>
              <w:spacing w:after="20"/>
            </w:pPr>
            <w:r/>
            <w:r>
              <w:rPr>
                <w:b w:val="0"/>
                <w:color w:val="172033"/>
                <w:sz w:val="15"/>
              </w:rPr>
              <w:t>Official AI Hackathon 2026 Student Project Guideline + Track 05 brief.</w:t>
            </w:r>
          </w:p>
        </w:tc>
      </w:tr>
      <w:tr>
        <w:tc>
          <w:tcPr>
            <w:tcW w:type="dxa" w:w="5083"/>
            <w:vAlign w:val="center"/>
          </w:tcPr>
          <w:p>
            <w:pPr>
              <w:spacing w:after="20"/>
            </w:pPr>
            <w:r/>
            <w:r>
              <w:rPr>
                <w:b w:val="0"/>
                <w:color w:val="172033"/>
                <w:sz w:val="15"/>
              </w:rPr>
              <w:t>Prototype assumption</w:t>
            </w:r>
          </w:p>
        </w:tc>
        <w:tc>
          <w:tcPr>
            <w:tcW w:type="dxa" w:w="5083"/>
            <w:vAlign w:val="center"/>
          </w:tcPr>
          <w:p>
            <w:pPr>
              <w:spacing w:after="20"/>
            </w:pPr>
            <w:r/>
            <w:r>
              <w:rPr>
                <w:b w:val="0"/>
                <w:color w:val="172033"/>
                <w:sz w:val="15"/>
              </w:rPr>
              <w:t>No production upay data or production credentials are required.</w:t>
            </w:r>
          </w:p>
        </w:tc>
      </w:tr>
    </w:tbl>
    <w:p>
      <w:pPr>
        <w:spacing w:after="20"/>
      </w:pPr>
    </w:p>
    <w:p>
      <w:pPr>
        <w:pStyle w:val="Heading1"/>
      </w:pPr>
      <w:r>
        <w:t>Table of Contents</w:t>
      </w:r>
    </w:p>
    <w:p>
      <w:pPr>
        <w:spacing w:after="40"/>
      </w:pPr>
      <w:r>
        <w:t>1. Executive Summary</w:t>
      </w:r>
    </w:p>
    <w:p>
      <w:pPr>
        <w:spacing w:after="40"/>
      </w:pPr>
      <w:r>
        <w:t>2. Guideline Alignment &amp; Success Definition</w:t>
      </w:r>
    </w:p>
    <w:p>
      <w:pPr>
        <w:spacing w:after="40"/>
      </w:pPr>
      <w:r>
        <w:t>3. Product Vision, Scope &amp; Personas</w:t>
      </w:r>
    </w:p>
    <w:p>
      <w:pPr>
        <w:spacing w:after="40"/>
      </w:pPr>
      <w:r>
        <w:t>4. Functional Requirements</w:t>
      </w:r>
    </w:p>
    <w:p>
      <w:pPr>
        <w:spacing w:after="40"/>
      </w:pPr>
      <w:r>
        <w:t>5. AI/ML Requirements</w:t>
      </w:r>
    </w:p>
    <w:p>
      <w:pPr>
        <w:spacing w:after="40"/>
      </w:pPr>
      <w:r>
        <w:t>6. Data Engineering &amp; Governance</w:t>
      </w:r>
    </w:p>
    <w:p>
      <w:pPr>
        <w:spacing w:after="40"/>
      </w:pPr>
      <w:r>
        <w:t>7. System Architecture</w:t>
      </w:r>
    </w:p>
    <w:p>
      <w:pPr>
        <w:spacing w:after="40"/>
      </w:pPr>
      <w:r>
        <w:t>8. Backend &amp; API Specification</w:t>
      </w:r>
    </w:p>
    <w:p>
      <w:pPr>
        <w:spacing w:after="40"/>
      </w:pPr>
      <w:r>
        <w:t>9. Frontend, 3D &amp; Interactive UX</w:t>
      </w:r>
    </w:p>
    <w:p>
      <w:pPr>
        <w:spacing w:after="40"/>
      </w:pPr>
      <w:r>
        <w:t>10. Authentication &amp; Authorization</w:t>
      </w:r>
    </w:p>
    <w:p>
      <w:pPr>
        <w:spacing w:after="40"/>
      </w:pPr>
      <w:r>
        <w:t>11. Security, AI Security &amp; Threat Model</w:t>
      </w:r>
    </w:p>
    <w:p>
      <w:pPr>
        <w:spacing w:after="40"/>
      </w:pPr>
      <w:r>
        <w:t>12. Non-Functional Requirements</w:t>
      </w:r>
    </w:p>
    <w:p>
      <w:pPr>
        <w:spacing w:after="40"/>
      </w:pPr>
      <w:r>
        <w:t>13. Observability, MLOps &amp; Reliability</w:t>
      </w:r>
    </w:p>
    <w:p>
      <w:pPr>
        <w:spacing w:after="40"/>
      </w:pPr>
      <w:r>
        <w:t>14. Testing &amp; Validation</w:t>
      </w:r>
    </w:p>
    <w:p>
      <w:pPr>
        <w:spacing w:after="40"/>
      </w:pPr>
      <w:r>
        <w:t>15. Deployment &amp; DevOps</w:t>
      </w:r>
    </w:p>
    <w:p>
      <w:pPr>
        <w:spacing w:after="40"/>
      </w:pPr>
      <w:r>
        <w:t>16. Acceptance Criteria &amp; Traceability</w:t>
      </w:r>
    </w:p>
    <w:p>
      <w:pPr>
        <w:spacing w:after="40"/>
      </w:pPr>
      <w:r>
        <w:t>17. Roadmap, Risks &amp; Future Production Path</w:t>
      </w:r>
    </w:p>
    <w:p>
      <w:pPr>
        <w:spacing w:after="40"/>
      </w:pPr>
      <w:r>
        <w:t>Appendix A. Data Model</w:t>
      </w:r>
    </w:p>
    <w:p>
      <w:pPr>
        <w:spacing w:after="40"/>
      </w:pPr>
      <w:r>
        <w:t>Appendix B. API Catalogue</w:t>
      </w:r>
    </w:p>
    <w:p>
      <w:pPr>
        <w:pStyle w:val="Title"/>
      </w:pPr>
      <w:r>
        <w:t>1. Executive Summary</w:t>
      </w:r>
    </w:p>
    <w:p>
      <w:r>
        <w:t>The proposed system is an AI-powered decision-support platform that treats merchants and agents as intelligent operational nodes rather than passive transaction endpoints. It combines time-series forecasting, classification, peer benchmarking, anomaly detection, recommendation logic and geospatial analytics to help merchants, agents and MFS operators anticipate demand, protect service availability, identify growth opportunities and act before performance deteriorates.</w:t>
      </w:r>
    </w:p>
    <w:tbl>
      <w:tblPr>
        <w:tblStyle w:val="TableGrid"/>
        <w:tblW w:type="auto" w:w="0"/>
        <w:jc w:val="center"/>
        <w:tblLook w:firstColumn="1" w:firstRow="1" w:lastColumn="0" w:lastRow="0" w:noHBand="0" w:noVBand="1" w:val="04A0"/>
      </w:tblPr>
      <w:tblGrid>
        <w:gridCol w:w="10166"/>
      </w:tblGrid>
      <w:tr>
        <w:tc>
          <w:tcPr>
            <w:tcW w:type="dxa" w:w="10166"/>
            <w:shd w:fill="EAF2FF"/>
          </w:tcPr>
          <w:p>
            <w:r/>
            <w:r>
              <w:rPr>
                <w:b/>
                <w:color w:val="1F5EFF"/>
              </w:rPr>
              <w:t xml:space="preserve">Problem Statement  </w:t>
            </w:r>
            <w:r>
              <w:rPr>
                <w:color w:val="172033"/>
                <w:sz w:val="18"/>
              </w:rPr>
              <w:t>For merchants, agents and MFS operators, volatile transaction demand, merchant inactivity, liquidity shortages, uneven performance and coverage gaps cause lost transactions, poor customer experience and inefficient field operations. We will build an AI-powered intelligence platform using synthetic behavioral, transaction, location and operational data to predict, explain and recommend actions, with success measured by forecast quality, churn recall, liquidity-shortage prevention, actionable recommendation uptake and operational response time.</w:t>
            </w:r>
          </w:p>
        </w:tc>
      </w:tr>
    </w:tbl>
    <w:p>
      <w:pPr>
        <w:spacing w:after="20"/>
      </w:pPr>
    </w:p>
    <w:p>
      <w:pPr>
        <w:pStyle w:val="Heading1"/>
      </w:pPr>
      <w:r>
        <w:t>1.1 Product Outcomes</w:t>
      </w:r>
    </w:p>
    <w:p>
      <w:pPr>
        <w:pStyle w:val="ListBullet"/>
        <w:spacing w:after="40"/>
      </w:pPr>
      <w:r>
        <w:t>Predict merchant transaction demand by hour/day/location/category with confidence intervals.</w:t>
      </w:r>
    </w:p>
    <w:p>
      <w:pPr>
        <w:pStyle w:val="ListBullet"/>
        <w:spacing w:after="40"/>
      </w:pPr>
      <w:r>
        <w:t>Predict merchant inactivity risk early enough for a human-led retention intervention.</w:t>
      </w:r>
    </w:p>
    <w:p>
      <w:pPr>
        <w:pStyle w:val="ListBullet"/>
        <w:spacing w:after="40"/>
      </w:pPr>
      <w:r>
        <w:t>Recommend practical growth actions and estimate expected impact; avoid manipulative or opaque recommendations.</w:t>
      </w:r>
    </w:p>
    <w:p>
      <w:pPr>
        <w:pStyle w:val="ListBullet"/>
        <w:spacing w:after="40"/>
      </w:pPr>
      <w:r>
        <w:t>Benchmark merchants and agents against comparable peers, explaining gaps rather than exposing sensitive peer identities.</w:t>
      </w:r>
    </w:p>
    <w:p>
      <w:pPr>
        <w:pStyle w:val="ListBullet"/>
        <w:spacing w:after="40"/>
      </w:pPr>
      <w:r>
        <w:t>Forecast agent cash-in/cash-out demand and warn about likely liquidity pressure before service failure.</w:t>
      </w:r>
    </w:p>
    <w:p>
      <w:pPr>
        <w:pStyle w:val="ListBullet"/>
        <w:spacing w:after="40"/>
      </w:pPr>
      <w:r>
        <w:t>Detect service gaps, emerging high performers and abnormal operational patterns.</w:t>
      </w:r>
    </w:p>
    <w:p>
      <w:pPr>
        <w:pStyle w:val="ListBullet"/>
        <w:spacing w:after="40"/>
      </w:pPr>
      <w:r>
        <w:t>Map underserved areas and rank candidate locations for new merchant/agent coverage.</w:t>
      </w:r>
    </w:p>
    <w:p>
      <w:pPr>
        <w:pStyle w:val="ListBullet"/>
        <w:spacing w:after="40"/>
      </w:pPr>
      <w:r>
        <w:t>Provide traceable explanations, human review, feedback capture and measurable business outcomes.</w:t>
      </w:r>
    </w:p>
    <w:p>
      <w:pPr>
        <w:pStyle w:val="Title"/>
      </w:pPr>
      <w:r>
        <w:t>2. Guideline Alignment &amp; Success Definition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Guideline principle</w:t>
            </w:r>
          </w:p>
        </w:tc>
        <w:tc>
          <w:tcPr>
            <w:tcW w:type="dxa" w:w="5083"/>
            <w:vAlign w:val="center"/>
            <w:shd w:fill="10233F"/>
          </w:tcPr>
          <w:p>
            <w:pPr>
              <w:spacing w:after="20"/>
            </w:pPr>
            <w:r/>
            <w:r>
              <w:rPr>
                <w:b/>
                <w:color w:val="FFFFFF"/>
                <w:sz w:val="16"/>
              </w:rPr>
              <w:t>SRS implementation</w:t>
            </w:r>
          </w:p>
        </w:tc>
      </w:tr>
      <w:tr>
        <w:tc>
          <w:tcPr>
            <w:tcW w:type="dxa" w:w="5083"/>
            <w:vAlign w:val="center"/>
          </w:tcPr>
          <w:p>
            <w:pPr>
              <w:spacing w:after="20"/>
            </w:pPr>
            <w:r/>
            <w:r>
              <w:rPr>
                <w:b w:val="0"/>
                <w:color w:val="172033"/>
                <w:sz w:val="15"/>
              </w:rPr>
              <w:t>Customer-first</w:t>
            </w:r>
          </w:p>
        </w:tc>
        <w:tc>
          <w:tcPr>
            <w:tcW w:type="dxa" w:w="5083"/>
            <w:vAlign w:val="center"/>
          </w:tcPr>
          <w:p>
            <w:pPr>
              <w:spacing w:after="20"/>
            </w:pPr>
            <w:r/>
            <w:r>
              <w:rPr>
                <w:b w:val="0"/>
                <w:color w:val="172033"/>
                <w:sz w:val="15"/>
              </w:rPr>
              <w:t>Separate merchant/agent workflows; every insight maps to a concrete user or operator action.</w:t>
            </w:r>
          </w:p>
        </w:tc>
      </w:tr>
      <w:tr>
        <w:tc>
          <w:tcPr>
            <w:tcW w:type="dxa" w:w="5083"/>
            <w:vAlign w:val="center"/>
            <w:shd w:fill="F7F9FC"/>
          </w:tcPr>
          <w:p>
            <w:pPr>
              <w:spacing w:after="20"/>
            </w:pPr>
            <w:r/>
            <w:r>
              <w:rPr>
                <w:b w:val="0"/>
                <w:color w:val="172033"/>
                <w:sz w:val="15"/>
              </w:rPr>
              <w:t>AI with purpose</w:t>
            </w:r>
          </w:p>
        </w:tc>
        <w:tc>
          <w:tcPr>
            <w:tcW w:type="dxa" w:w="5083"/>
            <w:vAlign w:val="center"/>
            <w:shd w:fill="F7F9FC"/>
          </w:tcPr>
          <w:p>
            <w:pPr>
              <w:spacing w:after="20"/>
            </w:pPr>
            <w:r/>
            <w:r>
              <w:rPr>
                <w:b w:val="0"/>
                <w:color w:val="172033"/>
                <w:sz w:val="15"/>
              </w:rPr>
              <w:t>Forecasting, churn classification, recommendation, anomaly detection, optimization and explanation are first-class capabilities.</w:t>
            </w:r>
          </w:p>
        </w:tc>
      </w:tr>
      <w:tr>
        <w:tc>
          <w:tcPr>
            <w:tcW w:type="dxa" w:w="5083"/>
            <w:vAlign w:val="center"/>
          </w:tcPr>
          <w:p>
            <w:pPr>
              <w:spacing w:after="20"/>
            </w:pPr>
            <w:r/>
            <w:r>
              <w:rPr>
                <w:b w:val="0"/>
                <w:color w:val="172033"/>
                <w:sz w:val="15"/>
              </w:rPr>
              <w:t>Build, not only pitch</w:t>
            </w:r>
          </w:p>
        </w:tc>
        <w:tc>
          <w:tcPr>
            <w:tcW w:type="dxa" w:w="5083"/>
            <w:vAlign w:val="center"/>
          </w:tcPr>
          <w:p>
            <w:pPr>
              <w:spacing w:after="20"/>
            </w:pPr>
            <w:r/>
            <w:r>
              <w:rPr>
                <w:b w:val="0"/>
                <w:color w:val="172033"/>
                <w:sz w:val="15"/>
              </w:rPr>
              <w:t>End-to-end prototype: synthetic data → feature pipeline → model inference → API → dashboard → action → feedback.</w:t>
            </w:r>
          </w:p>
        </w:tc>
      </w:tr>
      <w:tr>
        <w:tc>
          <w:tcPr>
            <w:tcW w:type="dxa" w:w="5083"/>
            <w:vAlign w:val="center"/>
            <w:shd w:fill="F7F9FC"/>
          </w:tcPr>
          <w:p>
            <w:pPr>
              <w:spacing w:after="20"/>
            </w:pPr>
            <w:r/>
            <w:r>
              <w:rPr>
                <w:b w:val="0"/>
                <w:color w:val="172033"/>
                <w:sz w:val="15"/>
              </w:rPr>
              <w:t>Privacy by design</w:t>
            </w:r>
          </w:p>
        </w:tc>
        <w:tc>
          <w:tcPr>
            <w:tcW w:type="dxa" w:w="5083"/>
            <w:vAlign w:val="center"/>
            <w:shd w:fill="F7F9FC"/>
          </w:tcPr>
          <w:p>
            <w:pPr>
              <w:spacing w:after="20"/>
            </w:pPr>
            <w:r/>
            <w:r>
              <w:rPr>
                <w:b w:val="0"/>
                <w:color w:val="172033"/>
                <w:sz w:val="15"/>
              </w:rPr>
              <w:t>Synthetic/public/self-generated data; no real PII; anonymized entity IDs; retention controls.</w:t>
            </w:r>
          </w:p>
        </w:tc>
      </w:tr>
      <w:tr>
        <w:tc>
          <w:tcPr>
            <w:tcW w:type="dxa" w:w="5083"/>
            <w:vAlign w:val="center"/>
          </w:tcPr>
          <w:p>
            <w:pPr>
              <w:spacing w:after="20"/>
            </w:pPr>
            <w:r/>
            <w:r>
              <w:rPr>
                <w:b w:val="0"/>
                <w:color w:val="172033"/>
                <w:sz w:val="15"/>
              </w:rPr>
              <w:t>Future-ready</w:t>
            </w:r>
          </w:p>
        </w:tc>
        <w:tc>
          <w:tcPr>
            <w:tcW w:type="dxa" w:w="5083"/>
            <w:vAlign w:val="center"/>
          </w:tcPr>
          <w:p>
            <w:pPr>
              <w:spacing w:after="20"/>
            </w:pPr>
            <w:r/>
            <w:r>
              <w:rPr>
                <w:b w:val="0"/>
                <w:color w:val="172033"/>
                <w:sz w:val="15"/>
              </w:rPr>
              <w:t>Versioned APIs, service boundaries, feature registry and production data integration adapter.</w:t>
            </w:r>
          </w:p>
        </w:tc>
      </w:tr>
      <w:tr>
        <w:tc>
          <w:tcPr>
            <w:tcW w:type="dxa" w:w="5083"/>
            <w:vAlign w:val="center"/>
            <w:shd w:fill="F7F9FC"/>
          </w:tcPr>
          <w:p>
            <w:pPr>
              <w:spacing w:after="20"/>
            </w:pPr>
            <w:r/>
            <w:r>
              <w:rPr>
                <w:b w:val="0"/>
                <w:color w:val="172033"/>
                <w:sz w:val="15"/>
              </w:rPr>
              <w:t>Responsible innovation</w:t>
            </w:r>
          </w:p>
        </w:tc>
        <w:tc>
          <w:tcPr>
            <w:tcW w:type="dxa" w:w="5083"/>
            <w:vAlign w:val="center"/>
            <w:shd w:fill="F7F9FC"/>
          </w:tcPr>
          <w:p>
            <w:pPr>
              <w:spacing w:after="20"/>
            </w:pPr>
            <w:r/>
            <w:r>
              <w:rPr>
                <w:b w:val="0"/>
                <w:color w:val="172033"/>
                <w:sz w:val="15"/>
              </w:rPr>
              <w:t>Explainability, fairness checks, access control, audit logs and human approval for high-impact actions.</w:t>
            </w:r>
          </w:p>
        </w:tc>
      </w:tr>
      <w:tr>
        <w:tc>
          <w:tcPr>
            <w:tcW w:type="dxa" w:w="5083"/>
            <w:vAlign w:val="center"/>
          </w:tcPr>
          <w:p>
            <w:pPr>
              <w:spacing w:after="20"/>
            </w:pPr>
            <w:r/>
            <w:r>
              <w:rPr>
                <w:b w:val="0"/>
                <w:color w:val="172033"/>
                <w:sz w:val="15"/>
              </w:rPr>
              <w:t>Not a generic dashboard</w:t>
            </w:r>
          </w:p>
        </w:tc>
        <w:tc>
          <w:tcPr>
            <w:tcW w:type="dxa" w:w="5083"/>
            <w:vAlign w:val="center"/>
          </w:tcPr>
          <w:p>
            <w:pPr>
              <w:spacing w:after="20"/>
            </w:pPr>
            <w:r/>
            <w:r>
              <w:rPr>
                <w:b w:val="0"/>
                <w:color w:val="172033"/>
                <w:sz w:val="15"/>
              </w:rPr>
              <w:t>Action center, simulation, what-if analysis, prioritized interventions and closed-loop outcome tracking.</w:t>
            </w:r>
          </w:p>
        </w:tc>
      </w:tr>
    </w:tbl>
    <w:p>
      <w:pPr>
        <w:spacing w:after="20"/>
      </w:pPr>
    </w:p>
    <w:p>
      <w:pPr>
        <w:pStyle w:val="Heading1"/>
      </w:pPr>
      <w:r>
        <w:t>2.1 Judge-Oriented Quality Targets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0233F"/>
          </w:tcPr>
          <w:p>
            <w:pPr>
              <w:spacing w:after="20"/>
            </w:pPr>
            <w:r/>
            <w:r>
              <w:rPr>
                <w:b/>
                <w:color w:val="FFFFFF"/>
                <w:sz w:val="16"/>
              </w:rPr>
              <w:t>Evaluation area</w:t>
            </w:r>
          </w:p>
        </w:tc>
        <w:tc>
          <w:tcPr>
            <w:tcW w:type="dxa" w:w="3389"/>
            <w:vAlign w:val="center"/>
            <w:shd w:fill="10233F"/>
          </w:tcPr>
          <w:p>
            <w:pPr>
              <w:spacing w:after="20"/>
            </w:pPr>
            <w:r/>
            <w:r>
              <w:rPr>
                <w:b/>
                <w:color w:val="FFFFFF"/>
                <w:sz w:val="16"/>
              </w:rPr>
              <w:t>Weight</w:t>
            </w:r>
          </w:p>
        </w:tc>
        <w:tc>
          <w:tcPr>
            <w:tcW w:type="dxa" w:w="3389"/>
            <w:vAlign w:val="center"/>
            <w:shd w:fill="10233F"/>
          </w:tcPr>
          <w:p>
            <w:pPr>
              <w:spacing w:after="20"/>
            </w:pPr>
            <w:r/>
            <w:r>
              <w:rPr>
                <w:b/>
                <w:color w:val="FFFFFF"/>
                <w:sz w:val="16"/>
              </w:rPr>
              <w:t>Evidence built into prototype</w:t>
            </w:r>
          </w:p>
        </w:tc>
      </w:tr>
      <w:tr>
        <w:tc>
          <w:tcPr>
            <w:tcW w:type="dxa" w:w="3389"/>
            <w:vAlign w:val="center"/>
          </w:tcPr>
          <w:p>
            <w:pPr>
              <w:spacing w:after="20"/>
            </w:pPr>
            <w:r/>
            <w:r>
              <w:rPr>
                <w:b w:val="0"/>
                <w:color w:val="172033"/>
                <w:sz w:val="15"/>
              </w:rPr>
              <w:t>Problem relevance</w:t>
            </w:r>
          </w:p>
        </w:tc>
        <w:tc>
          <w:tcPr>
            <w:tcW w:type="dxa" w:w="3389"/>
            <w:vAlign w:val="center"/>
          </w:tcPr>
          <w:p>
            <w:pPr>
              <w:spacing w:after="20"/>
            </w:pPr>
            <w:r/>
            <w:r>
              <w:rPr>
                <w:b w:val="0"/>
                <w:color w:val="172033"/>
                <w:sz w:val="15"/>
              </w:rPr>
              <w:t>20%</w:t>
            </w:r>
          </w:p>
        </w:tc>
        <w:tc>
          <w:tcPr>
            <w:tcW w:type="dxa" w:w="3389"/>
            <w:vAlign w:val="center"/>
          </w:tcPr>
          <w:p>
            <w:pPr>
              <w:spacing w:after="20"/>
            </w:pPr>
            <w:r/>
            <w:r>
              <w:rPr>
                <w:b w:val="0"/>
                <w:color w:val="172033"/>
                <w:sz w:val="15"/>
              </w:rPr>
              <w:t>Service availability, merchant inactivity and liquidity-pressure workflows tied to measurable consequences.</w:t>
            </w:r>
          </w:p>
        </w:tc>
      </w:tr>
      <w:tr>
        <w:tc>
          <w:tcPr>
            <w:tcW w:type="dxa" w:w="3389"/>
            <w:vAlign w:val="center"/>
            <w:shd w:fill="F7F9FC"/>
          </w:tcPr>
          <w:p>
            <w:pPr>
              <w:spacing w:after="20"/>
            </w:pPr>
            <w:r/>
            <w:r>
              <w:rPr>
                <w:b w:val="0"/>
                <w:color w:val="172033"/>
                <w:sz w:val="15"/>
              </w:rPr>
              <w:t>AI/ML depth</w:t>
            </w:r>
          </w:p>
        </w:tc>
        <w:tc>
          <w:tcPr>
            <w:tcW w:type="dxa" w:w="3389"/>
            <w:vAlign w:val="center"/>
            <w:shd w:fill="F7F9FC"/>
          </w:tcPr>
          <w:p>
            <w:pPr>
              <w:spacing w:after="20"/>
            </w:pPr>
            <w:r/>
            <w:r>
              <w:rPr>
                <w:b w:val="0"/>
                <w:color w:val="172033"/>
                <w:sz w:val="15"/>
              </w:rPr>
              <w:t>20%</w:t>
            </w:r>
          </w:p>
        </w:tc>
        <w:tc>
          <w:tcPr>
            <w:tcW w:type="dxa" w:w="3389"/>
            <w:vAlign w:val="center"/>
            <w:shd w:fill="F7F9FC"/>
          </w:tcPr>
          <w:p>
            <w:pPr>
              <w:spacing w:after="20"/>
            </w:pPr>
            <w:r/>
            <w:r>
              <w:rPr>
                <w:b w:val="0"/>
                <w:color w:val="172033"/>
                <w:sz w:val="15"/>
              </w:rPr>
              <w:t>Multiple model families, explainability, uncertainty, anomaly detection, geospatial scoring and model evaluation.</w:t>
            </w:r>
          </w:p>
        </w:tc>
      </w:tr>
      <w:tr>
        <w:tc>
          <w:tcPr>
            <w:tcW w:type="dxa" w:w="3389"/>
            <w:vAlign w:val="center"/>
          </w:tcPr>
          <w:p>
            <w:pPr>
              <w:spacing w:after="20"/>
            </w:pPr>
            <w:r/>
            <w:r>
              <w:rPr>
                <w:b w:val="0"/>
                <w:color w:val="172033"/>
                <w:sz w:val="15"/>
              </w:rPr>
              <w:t>Business/customer impact</w:t>
            </w:r>
          </w:p>
        </w:tc>
        <w:tc>
          <w:tcPr>
            <w:tcW w:type="dxa" w:w="3389"/>
            <w:vAlign w:val="center"/>
          </w:tcPr>
          <w:p>
            <w:pPr>
              <w:spacing w:after="20"/>
            </w:pPr>
            <w:r/>
            <w:r>
              <w:rPr>
                <w:b w:val="0"/>
                <w:color w:val="172033"/>
                <w:sz w:val="15"/>
              </w:rPr>
              <w:t>20%</w:t>
            </w:r>
          </w:p>
        </w:tc>
        <w:tc>
          <w:tcPr>
            <w:tcW w:type="dxa" w:w="3389"/>
            <w:vAlign w:val="center"/>
          </w:tcPr>
          <w:p>
            <w:pPr>
              <w:spacing w:after="20"/>
            </w:pPr>
            <w:r/>
            <w:r>
              <w:rPr>
                <w:b w:val="0"/>
                <w:color w:val="172033"/>
                <w:sz w:val="15"/>
              </w:rPr>
              <w:t>KPIs for prevented failed cash-outs, retention, repeat usage, transaction value and coverage efficiency.</w:t>
            </w:r>
          </w:p>
        </w:tc>
      </w:tr>
      <w:tr>
        <w:tc>
          <w:tcPr>
            <w:tcW w:type="dxa" w:w="3389"/>
            <w:vAlign w:val="center"/>
            <w:shd w:fill="F7F9FC"/>
          </w:tcPr>
          <w:p>
            <w:pPr>
              <w:spacing w:after="20"/>
            </w:pPr>
            <w:r/>
            <w:r>
              <w:rPr>
                <w:b w:val="0"/>
                <w:color w:val="172033"/>
                <w:sz w:val="15"/>
              </w:rPr>
              <w:t>Prototype quality</w:t>
            </w:r>
          </w:p>
        </w:tc>
        <w:tc>
          <w:tcPr>
            <w:tcW w:type="dxa" w:w="3389"/>
            <w:vAlign w:val="center"/>
            <w:shd w:fill="F7F9FC"/>
          </w:tcPr>
          <w:p>
            <w:pPr>
              <w:spacing w:after="20"/>
            </w:pPr>
            <w:r/>
            <w:r>
              <w:rPr>
                <w:b w:val="0"/>
                <w:color w:val="172033"/>
                <w:sz w:val="15"/>
              </w:rPr>
              <w:t>15%</w:t>
            </w:r>
          </w:p>
        </w:tc>
        <w:tc>
          <w:tcPr>
            <w:tcW w:type="dxa" w:w="3389"/>
            <w:vAlign w:val="center"/>
            <w:shd w:fill="F7F9FC"/>
          </w:tcPr>
          <w:p>
            <w:pPr>
              <w:spacing w:after="20"/>
            </w:pPr>
            <w:r/>
            <w:r>
              <w:rPr>
                <w:b w:val="0"/>
                <w:color w:val="172033"/>
                <w:sz w:val="15"/>
              </w:rPr>
              <w:t>Responsive end-to-end product with role-based dashboards and actionable workflows.</w:t>
            </w:r>
          </w:p>
        </w:tc>
      </w:tr>
      <w:tr>
        <w:tc>
          <w:tcPr>
            <w:tcW w:type="dxa" w:w="3389"/>
            <w:vAlign w:val="center"/>
          </w:tcPr>
          <w:p>
            <w:pPr>
              <w:spacing w:after="20"/>
            </w:pPr>
            <w:r/>
            <w:r>
              <w:rPr>
                <w:b w:val="0"/>
                <w:color w:val="172033"/>
                <w:sz w:val="15"/>
              </w:rPr>
              <w:t>Innovation</w:t>
            </w:r>
          </w:p>
        </w:tc>
        <w:tc>
          <w:tcPr>
            <w:tcW w:type="dxa" w:w="3389"/>
            <w:vAlign w:val="center"/>
          </w:tcPr>
          <w:p>
            <w:pPr>
              <w:spacing w:after="20"/>
            </w:pPr>
            <w:r/>
            <w:r>
              <w:rPr>
                <w:b w:val="0"/>
                <w:color w:val="172033"/>
                <w:sz w:val="15"/>
              </w:rPr>
              <w:t>10%</w:t>
            </w:r>
          </w:p>
        </w:tc>
        <w:tc>
          <w:tcPr>
            <w:tcW w:type="dxa" w:w="3389"/>
            <w:vAlign w:val="center"/>
          </w:tcPr>
          <w:p>
            <w:pPr>
              <w:spacing w:after="20"/>
            </w:pPr>
            <w:r/>
            <w:r>
              <w:rPr>
                <w:b w:val="0"/>
                <w:color w:val="172033"/>
                <w:sz w:val="15"/>
              </w:rPr>
              <w:t>Merchant/agent digital twin view, scenario simulator, AI action center and 2.5D ecosystem map.</w:t>
            </w:r>
          </w:p>
        </w:tc>
      </w:tr>
      <w:tr>
        <w:tc>
          <w:tcPr>
            <w:tcW w:type="dxa" w:w="3389"/>
            <w:vAlign w:val="center"/>
            <w:shd w:fill="F7F9FC"/>
          </w:tcPr>
          <w:p>
            <w:pPr>
              <w:spacing w:after="20"/>
            </w:pPr>
            <w:r/>
            <w:r>
              <w:rPr>
                <w:b w:val="0"/>
                <w:color w:val="172033"/>
                <w:sz w:val="15"/>
              </w:rPr>
              <w:t>Scalability &amp; integration</w:t>
            </w:r>
          </w:p>
        </w:tc>
        <w:tc>
          <w:tcPr>
            <w:tcW w:type="dxa" w:w="3389"/>
            <w:vAlign w:val="center"/>
            <w:shd w:fill="F7F9FC"/>
          </w:tcPr>
          <w:p>
            <w:pPr>
              <w:spacing w:after="20"/>
            </w:pPr>
            <w:r/>
            <w:r>
              <w:rPr>
                <w:b w:val="0"/>
                <w:color w:val="172033"/>
                <w:sz w:val="15"/>
              </w:rPr>
              <w:t>10%</w:t>
            </w:r>
          </w:p>
        </w:tc>
        <w:tc>
          <w:tcPr>
            <w:tcW w:type="dxa" w:w="3389"/>
            <w:vAlign w:val="center"/>
            <w:shd w:fill="F7F9FC"/>
          </w:tcPr>
          <w:p>
            <w:pPr>
              <w:spacing w:after="20"/>
            </w:pPr>
            <w:r/>
            <w:r>
              <w:rPr>
                <w:b w:val="0"/>
                <w:color w:val="172033"/>
                <w:sz w:val="15"/>
              </w:rPr>
              <w:t>API-first architecture, asynchronous jobs, cache, queue, observability and production migration plan.</w:t>
            </w:r>
          </w:p>
        </w:tc>
      </w:tr>
      <w:tr>
        <w:tc>
          <w:tcPr>
            <w:tcW w:type="dxa" w:w="3389"/>
            <w:vAlign w:val="center"/>
          </w:tcPr>
          <w:p>
            <w:pPr>
              <w:spacing w:after="20"/>
            </w:pPr>
            <w:r/>
            <w:r>
              <w:rPr>
                <w:b w:val="0"/>
                <w:color w:val="172033"/>
                <w:sz w:val="15"/>
              </w:rPr>
              <w:t>Responsible AI &amp; security</w:t>
            </w:r>
          </w:p>
        </w:tc>
        <w:tc>
          <w:tcPr>
            <w:tcW w:type="dxa" w:w="3389"/>
            <w:vAlign w:val="center"/>
          </w:tcPr>
          <w:p>
            <w:pPr>
              <w:spacing w:after="20"/>
            </w:pPr>
            <w:r/>
            <w:r>
              <w:rPr>
                <w:b w:val="0"/>
                <w:color w:val="172033"/>
                <w:sz w:val="15"/>
              </w:rPr>
              <w:t>5%</w:t>
            </w:r>
          </w:p>
        </w:tc>
        <w:tc>
          <w:tcPr>
            <w:tcW w:type="dxa" w:w="3389"/>
            <w:vAlign w:val="center"/>
          </w:tcPr>
          <w:p>
            <w:pPr>
              <w:spacing w:after="20"/>
            </w:pPr>
            <w:r/>
            <w:r>
              <w:rPr>
                <w:b w:val="0"/>
                <w:color w:val="172033"/>
                <w:sz w:val="15"/>
              </w:rPr>
              <w:t>Threat model, AI security controls, fairness, explainability, privacy and human oversight.</w:t>
            </w:r>
          </w:p>
        </w:tc>
      </w:tr>
    </w:tbl>
    <w:p>
      <w:pPr>
        <w:spacing w:after="20"/>
      </w:pPr>
    </w:p>
    <w:p>
      <w:pPr>
        <w:pStyle w:val="Title"/>
      </w:pPr>
      <w:r>
        <w:t>3. Product Vision, Scope &amp; Personas</w:t>
      </w:r>
    </w:p>
    <w:p>
      <w:pPr>
        <w:pStyle w:val="Heading1"/>
      </w:pPr>
      <w:r>
        <w:t>3.1 In Scope</w:t>
      </w:r>
    </w:p>
    <w:p>
      <w:pPr>
        <w:pStyle w:val="ListBullet"/>
        <w:spacing w:after="40"/>
      </w:pPr>
      <w:r>
        <w:t>Merchant Intelligence Workspace</w:t>
      </w:r>
    </w:p>
    <w:p>
      <w:pPr>
        <w:pStyle w:val="ListBullet"/>
        <w:spacing w:after="40"/>
      </w:pPr>
      <w:r>
        <w:t>Agent Liquidity &amp; Performance Workspace</w:t>
      </w:r>
    </w:p>
    <w:p>
      <w:pPr>
        <w:pStyle w:val="ListBullet"/>
        <w:spacing w:after="40"/>
      </w:pPr>
      <w:r>
        <w:t>Regional Operations Command Center</w:t>
      </w:r>
    </w:p>
    <w:p>
      <w:pPr>
        <w:pStyle w:val="ListBullet"/>
        <w:spacing w:after="40"/>
      </w:pPr>
      <w:r>
        <w:t>Location Intelligence Map</w:t>
      </w:r>
    </w:p>
    <w:p>
      <w:pPr>
        <w:pStyle w:val="ListBullet"/>
        <w:spacing w:after="40"/>
      </w:pPr>
      <w:r>
        <w:t>AI Recommendation &amp; Explanation Center</w:t>
      </w:r>
    </w:p>
    <w:p>
      <w:pPr>
        <w:pStyle w:val="ListBullet"/>
        <w:spacing w:after="40"/>
      </w:pPr>
      <w:r>
        <w:t>Admin / Model / Data Quality Console</w:t>
      </w:r>
    </w:p>
    <w:p>
      <w:pPr>
        <w:pStyle w:val="ListBullet"/>
        <w:spacing w:after="40"/>
      </w:pPr>
      <w:r>
        <w:t>Synthetic Data Studio for demo scenarios</w:t>
      </w:r>
    </w:p>
    <w:p>
      <w:pPr>
        <w:pStyle w:val="ListBullet"/>
        <w:spacing w:after="40"/>
      </w:pPr>
      <w:r>
        <w:t>Feedback and intervention outcome tracking</w:t>
      </w:r>
    </w:p>
    <w:p>
      <w:pPr>
        <w:pStyle w:val="Heading1"/>
      </w:pPr>
      <w:r>
        <w:t>3.2 Out of Scope for Hackathon</w:t>
      </w:r>
    </w:p>
    <w:p>
      <w:pPr>
        <w:pStyle w:val="ListBullet"/>
        <w:spacing w:after="40"/>
      </w:pPr>
      <w:r>
        <w:t>Real money movement or autonomous cash rebalancing</w:t>
      </w:r>
    </w:p>
    <w:p>
      <w:pPr>
        <w:pStyle w:val="ListBullet"/>
        <w:spacing w:after="40"/>
      </w:pPr>
      <w:r>
        <w:t>Production customer PII</w:t>
      </w:r>
    </w:p>
    <w:p>
      <w:pPr>
        <w:pStyle w:val="ListBullet"/>
        <w:spacing w:after="40"/>
      </w:pPr>
      <w:r>
        <w:t>Autonomous suspension/penalty of merchants or agents</w:t>
      </w:r>
    </w:p>
    <w:p>
      <w:pPr>
        <w:pStyle w:val="ListBullet"/>
        <w:spacing w:after="40"/>
      </w:pPr>
      <w:r>
        <w:t>Autonomous credit approval/denial</w:t>
      </w:r>
    </w:p>
    <w:p>
      <w:pPr>
        <w:pStyle w:val="ListBullet"/>
        <w:spacing w:after="40"/>
      </w:pPr>
      <w:r>
        <w:t>Unreviewed LLM-generated consequential actions</w:t>
      </w:r>
    </w:p>
    <w:p>
      <w:pPr>
        <w:pStyle w:val="ListBullet"/>
        <w:spacing w:after="40"/>
      </w:pPr>
      <w:r>
        <w:t>Direct production upay integration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0233F"/>
          </w:tcPr>
          <w:p>
            <w:pPr>
              <w:spacing w:after="20"/>
            </w:pPr>
            <w:r/>
            <w:r>
              <w:rPr>
                <w:b/>
                <w:color w:val="FFFFFF"/>
                <w:sz w:val="16"/>
              </w:rPr>
              <w:t>Persona</w:t>
            </w:r>
          </w:p>
        </w:tc>
        <w:tc>
          <w:tcPr>
            <w:tcW w:type="dxa" w:w="3389"/>
            <w:vAlign w:val="center"/>
            <w:shd w:fill="10233F"/>
          </w:tcPr>
          <w:p>
            <w:pPr>
              <w:spacing w:after="20"/>
            </w:pPr>
            <w:r/>
            <w:r>
              <w:rPr>
                <w:b/>
                <w:color w:val="FFFFFF"/>
                <w:sz w:val="16"/>
              </w:rPr>
              <w:t>Primary need</w:t>
            </w:r>
          </w:p>
        </w:tc>
        <w:tc>
          <w:tcPr>
            <w:tcW w:type="dxa" w:w="3389"/>
            <w:vAlign w:val="center"/>
            <w:shd w:fill="10233F"/>
          </w:tcPr>
          <w:p>
            <w:pPr>
              <w:spacing w:after="20"/>
            </w:pPr>
            <w:r/>
            <w:r>
              <w:rPr>
                <w:b/>
                <w:color w:val="FFFFFF"/>
                <w:sz w:val="16"/>
              </w:rPr>
              <w:t>Key views/actions</w:t>
            </w:r>
          </w:p>
        </w:tc>
      </w:tr>
      <w:tr>
        <w:tc>
          <w:tcPr>
            <w:tcW w:type="dxa" w:w="3389"/>
            <w:vAlign w:val="center"/>
          </w:tcPr>
          <w:p>
            <w:pPr>
              <w:spacing w:after="20"/>
            </w:pPr>
            <w:r/>
            <w:r>
              <w:rPr>
                <w:b w:val="0"/>
                <w:color w:val="172033"/>
                <w:sz w:val="15"/>
              </w:rPr>
              <w:t>Merchant</w:t>
            </w:r>
          </w:p>
        </w:tc>
        <w:tc>
          <w:tcPr>
            <w:tcW w:type="dxa" w:w="3389"/>
            <w:vAlign w:val="center"/>
          </w:tcPr>
          <w:p>
            <w:pPr>
              <w:spacing w:after="20"/>
            </w:pPr>
            <w:r/>
            <w:r>
              <w:rPr>
                <w:b w:val="0"/>
                <w:color w:val="172033"/>
                <w:sz w:val="15"/>
              </w:rPr>
              <w:t>Grow repeat usage and understand demand</w:t>
            </w:r>
          </w:p>
        </w:tc>
        <w:tc>
          <w:tcPr>
            <w:tcW w:type="dxa" w:w="3389"/>
            <w:vAlign w:val="center"/>
          </w:tcPr>
          <w:p>
            <w:pPr>
              <w:spacing w:after="20"/>
            </w:pPr>
            <w:r/>
            <w:r>
              <w:rPr>
                <w:b w:val="0"/>
                <w:color w:val="172033"/>
                <w:sz w:val="15"/>
              </w:rPr>
              <w:t>Demand forecast, peer benchmark, growth actions, churn/self-health indicators.</w:t>
            </w:r>
          </w:p>
        </w:tc>
      </w:tr>
      <w:tr>
        <w:tc>
          <w:tcPr>
            <w:tcW w:type="dxa" w:w="3389"/>
            <w:vAlign w:val="center"/>
            <w:shd w:fill="F7F9FC"/>
          </w:tcPr>
          <w:p>
            <w:pPr>
              <w:spacing w:after="20"/>
            </w:pPr>
            <w:r/>
            <w:r>
              <w:rPr>
                <w:b w:val="0"/>
                <w:color w:val="172033"/>
                <w:sz w:val="15"/>
              </w:rPr>
              <w:t>Agent</w:t>
            </w:r>
          </w:p>
        </w:tc>
        <w:tc>
          <w:tcPr>
            <w:tcW w:type="dxa" w:w="3389"/>
            <w:vAlign w:val="center"/>
            <w:shd w:fill="F7F9FC"/>
          </w:tcPr>
          <w:p>
            <w:pPr>
              <w:spacing w:after="20"/>
            </w:pPr>
            <w:r/>
            <w:r>
              <w:rPr>
                <w:b w:val="0"/>
                <w:color w:val="172033"/>
                <w:sz w:val="15"/>
              </w:rPr>
              <w:t>Avoid cash/e-money shortage and serve customers reliably</w:t>
            </w:r>
          </w:p>
        </w:tc>
        <w:tc>
          <w:tcPr>
            <w:tcW w:type="dxa" w:w="3389"/>
            <w:vAlign w:val="center"/>
            <w:shd w:fill="F7F9FC"/>
          </w:tcPr>
          <w:p>
            <w:pPr>
              <w:spacing w:after="20"/>
            </w:pPr>
            <w:r/>
            <w:r>
              <w:rPr>
                <w:b w:val="0"/>
                <w:color w:val="172033"/>
                <w:sz w:val="15"/>
              </w:rPr>
              <w:t>Liquidity forecast, pressure alerts, service gaps, recommended rebalancing preparation.</w:t>
            </w:r>
          </w:p>
        </w:tc>
      </w:tr>
      <w:tr>
        <w:tc>
          <w:tcPr>
            <w:tcW w:type="dxa" w:w="3389"/>
            <w:vAlign w:val="center"/>
          </w:tcPr>
          <w:p>
            <w:pPr>
              <w:spacing w:after="20"/>
            </w:pPr>
            <w:r/>
            <w:r>
              <w:rPr>
                <w:b w:val="0"/>
                <w:color w:val="172033"/>
                <w:sz w:val="15"/>
              </w:rPr>
              <w:t>Regional Manager</w:t>
            </w:r>
          </w:p>
        </w:tc>
        <w:tc>
          <w:tcPr>
            <w:tcW w:type="dxa" w:w="3389"/>
            <w:vAlign w:val="center"/>
          </w:tcPr>
          <w:p>
            <w:pPr>
              <w:spacing w:after="20"/>
            </w:pPr>
            <w:r/>
            <w:r>
              <w:rPr>
                <w:b w:val="0"/>
                <w:color w:val="172033"/>
                <w:sz w:val="15"/>
              </w:rPr>
              <w:t>Prioritize field attention</w:t>
            </w:r>
          </w:p>
        </w:tc>
        <w:tc>
          <w:tcPr>
            <w:tcW w:type="dxa" w:w="3389"/>
            <w:vAlign w:val="center"/>
          </w:tcPr>
          <w:p>
            <w:pPr>
              <w:spacing w:after="20"/>
            </w:pPr>
            <w:r/>
            <w:r>
              <w:rPr>
                <w:b w:val="0"/>
                <w:color w:val="172033"/>
                <w:sz w:val="15"/>
              </w:rPr>
              <w:t>Heatmaps, risk queues, emerging performers, location opportunity, intervention tracking.</w:t>
            </w:r>
          </w:p>
        </w:tc>
      </w:tr>
      <w:tr>
        <w:tc>
          <w:tcPr>
            <w:tcW w:type="dxa" w:w="3389"/>
            <w:vAlign w:val="center"/>
            <w:shd w:fill="F7F9FC"/>
          </w:tcPr>
          <w:p>
            <w:pPr>
              <w:spacing w:after="20"/>
            </w:pPr>
            <w:r/>
            <w:r>
              <w:rPr>
                <w:b w:val="0"/>
                <w:color w:val="172033"/>
                <w:sz w:val="15"/>
              </w:rPr>
              <w:t>MFS Analyst</w:t>
            </w:r>
          </w:p>
        </w:tc>
        <w:tc>
          <w:tcPr>
            <w:tcW w:type="dxa" w:w="3389"/>
            <w:vAlign w:val="center"/>
            <w:shd w:fill="F7F9FC"/>
          </w:tcPr>
          <w:p>
            <w:pPr>
              <w:spacing w:after="20"/>
            </w:pPr>
            <w:r/>
            <w:r>
              <w:rPr>
                <w:b w:val="0"/>
                <w:color w:val="172033"/>
                <w:sz w:val="15"/>
              </w:rPr>
              <w:t>Understand system patterns</w:t>
            </w:r>
          </w:p>
        </w:tc>
        <w:tc>
          <w:tcPr>
            <w:tcW w:type="dxa" w:w="3389"/>
            <w:vAlign w:val="center"/>
            <w:shd w:fill="F7F9FC"/>
          </w:tcPr>
          <w:p>
            <w:pPr>
              <w:spacing w:after="20"/>
            </w:pPr>
            <w:r/>
            <w:r>
              <w:rPr>
                <w:b w:val="0"/>
                <w:color w:val="172033"/>
                <w:sz w:val="15"/>
              </w:rPr>
              <w:t>Cohorts, model explanations, anomaly investigation, experiments and outcome analytics.</w:t>
            </w:r>
          </w:p>
        </w:tc>
      </w:tr>
      <w:tr>
        <w:tc>
          <w:tcPr>
            <w:tcW w:type="dxa" w:w="3389"/>
            <w:vAlign w:val="center"/>
          </w:tcPr>
          <w:p>
            <w:pPr>
              <w:spacing w:after="20"/>
            </w:pPr>
            <w:r/>
            <w:r>
              <w:rPr>
                <w:b w:val="0"/>
                <w:color w:val="172033"/>
                <w:sz w:val="15"/>
              </w:rPr>
              <w:t>Administrator</w:t>
            </w:r>
          </w:p>
        </w:tc>
        <w:tc>
          <w:tcPr>
            <w:tcW w:type="dxa" w:w="3389"/>
            <w:vAlign w:val="center"/>
          </w:tcPr>
          <w:p>
            <w:pPr>
              <w:spacing w:after="20"/>
            </w:pPr>
            <w:r/>
            <w:r>
              <w:rPr>
                <w:b w:val="0"/>
                <w:color w:val="172033"/>
                <w:sz w:val="15"/>
              </w:rPr>
              <w:t>Control platform safely</w:t>
            </w:r>
          </w:p>
        </w:tc>
        <w:tc>
          <w:tcPr>
            <w:tcW w:type="dxa" w:w="3389"/>
            <w:vAlign w:val="center"/>
          </w:tcPr>
          <w:p>
            <w:pPr>
              <w:spacing w:after="20"/>
            </w:pPr>
            <w:r/>
            <w:r>
              <w:rPr>
                <w:b w:val="0"/>
                <w:color w:val="172033"/>
                <w:sz w:val="15"/>
              </w:rPr>
              <w:t>Users/roles, configuration, model versions, audit logs, feature flags, data quality.</w:t>
            </w:r>
          </w:p>
        </w:tc>
      </w:tr>
    </w:tbl>
    <w:p>
      <w:pPr>
        <w:spacing w:after="20"/>
      </w:pPr>
    </w:p>
    <w:p>
      <w:pPr>
        <w:pStyle w:val="Title"/>
      </w:pPr>
      <w:r>
        <w:t>4. Functional Requirements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792"/>
            <w:vAlign w:val="center"/>
            <w:shd w:fill="10233F"/>
          </w:tcPr>
          <w:p>
            <w:pPr>
              <w:spacing w:after="20"/>
            </w:pPr>
            <w:r/>
            <w:r>
              <w:rPr>
                <w:b/>
                <w:color w:val="FFFFFF"/>
                <w:sz w:val="16"/>
              </w:rPr>
              <w:t>ID</w:t>
            </w:r>
          </w:p>
        </w:tc>
        <w:tc>
          <w:tcPr>
            <w:tcW w:type="dxa" w:w="1944"/>
            <w:vAlign w:val="center"/>
            <w:shd w:fill="10233F"/>
          </w:tcPr>
          <w:p>
            <w:pPr>
              <w:spacing w:after="20"/>
            </w:pPr>
            <w:r/>
            <w:r>
              <w:rPr>
                <w:b/>
                <w:color w:val="FFFFFF"/>
                <w:sz w:val="16"/>
              </w:rPr>
              <w:t>Requirement</w:t>
            </w:r>
          </w:p>
        </w:tc>
        <w:tc>
          <w:tcPr>
            <w:tcW w:type="dxa" w:w="6480"/>
            <w:vAlign w:val="center"/>
            <w:shd w:fill="10233F"/>
          </w:tcPr>
          <w:p>
            <w:pPr>
              <w:spacing w:after="20"/>
            </w:pPr>
            <w:r/>
            <w:r>
              <w:rPr>
                <w:b/>
                <w:color w:val="FFFFFF"/>
                <w:sz w:val="16"/>
              </w:rPr>
              <w:t>Specification</w:t>
            </w:r>
          </w:p>
        </w:tc>
        <w:tc>
          <w:tcPr>
            <w:tcW w:type="dxa" w:w="864"/>
            <w:vAlign w:val="center"/>
            <w:shd w:fill="10233F"/>
          </w:tcPr>
          <w:p>
            <w:pPr>
              <w:spacing w:after="20"/>
            </w:pPr>
            <w:r/>
            <w:r>
              <w:rPr>
                <w:b/>
                <w:color w:val="FFFFFF"/>
                <w:sz w:val="16"/>
              </w:rPr>
              <w:t>Priority</w:t>
            </w:r>
          </w:p>
        </w:tc>
      </w:tr>
      <w:tr>
        <w:tc>
          <w:tcPr>
            <w:tcW w:type="dxa" w:w="792"/>
            <w:vAlign w:val="center"/>
          </w:tcPr>
          <w:p>
            <w:pPr>
              <w:spacing w:after="20"/>
            </w:pPr>
            <w:r/>
            <w:r>
              <w:rPr>
                <w:b w:val="0"/>
                <w:color w:val="172033"/>
                <w:sz w:val="15"/>
              </w:rPr>
              <w:t>FR-001</w:t>
            </w:r>
          </w:p>
        </w:tc>
        <w:tc>
          <w:tcPr>
            <w:tcW w:type="dxa" w:w="1944"/>
            <w:vAlign w:val="center"/>
          </w:tcPr>
          <w:p>
            <w:pPr>
              <w:spacing w:after="20"/>
            </w:pPr>
            <w:r/>
            <w:r>
              <w:rPr>
                <w:b w:val="0"/>
                <w:color w:val="172033"/>
                <w:sz w:val="15"/>
              </w:rPr>
              <w:t>Unified Intelligence Home</w:t>
            </w:r>
          </w:p>
        </w:tc>
        <w:tc>
          <w:tcPr>
            <w:tcW w:type="dxa" w:w="6480"/>
            <w:vAlign w:val="center"/>
          </w:tcPr>
          <w:p>
            <w:pPr>
              <w:spacing w:after="20"/>
            </w:pPr>
            <w:r/>
            <w:r>
              <w:rPr>
                <w:b w:val="0"/>
                <w:color w:val="172033"/>
                <w:sz w:val="15"/>
              </w:rPr>
              <w:t>System SHALL show prioritized merchant/agent alerts, forecast changes, opportunities and intervention status by authorized scope.</w:t>
            </w:r>
          </w:p>
        </w:tc>
        <w:tc>
          <w:tcPr>
            <w:tcW w:type="dxa" w:w="864"/>
            <w:vAlign w:val="center"/>
          </w:tcPr>
          <w:p>
            <w:pPr>
              <w:spacing w:after="20"/>
            </w:pPr>
            <w:r/>
            <w:r>
              <w:rPr>
                <w:b w:val="0"/>
                <w:color w:val="172033"/>
                <w:sz w:val="15"/>
              </w:rPr>
              <w:t>Must</w:t>
            </w:r>
          </w:p>
        </w:tc>
      </w:tr>
      <w:tr>
        <w:tc>
          <w:tcPr>
            <w:tcW w:type="dxa" w:w="792"/>
            <w:vAlign w:val="center"/>
            <w:shd w:fill="F7F9FC"/>
          </w:tcPr>
          <w:p>
            <w:pPr>
              <w:spacing w:after="20"/>
            </w:pPr>
            <w:r/>
            <w:r>
              <w:rPr>
                <w:b w:val="0"/>
                <w:color w:val="172033"/>
                <w:sz w:val="15"/>
              </w:rPr>
              <w:t>FR-002</w:t>
            </w:r>
          </w:p>
        </w:tc>
        <w:tc>
          <w:tcPr>
            <w:tcW w:type="dxa" w:w="1944"/>
            <w:vAlign w:val="center"/>
            <w:shd w:fill="F7F9FC"/>
          </w:tcPr>
          <w:p>
            <w:pPr>
              <w:spacing w:after="20"/>
            </w:pPr>
            <w:r/>
            <w:r>
              <w:rPr>
                <w:b w:val="0"/>
                <w:color w:val="172033"/>
                <w:sz w:val="15"/>
              </w:rPr>
              <w:t>Merchant Demand Forecast</w:t>
            </w:r>
          </w:p>
        </w:tc>
        <w:tc>
          <w:tcPr>
            <w:tcW w:type="dxa" w:w="6480"/>
            <w:vAlign w:val="center"/>
            <w:shd w:fill="F7F9FC"/>
          </w:tcPr>
          <w:p>
            <w:pPr>
              <w:spacing w:after="20"/>
            </w:pPr>
            <w:r/>
            <w:r>
              <w:rPr>
                <w:b w:val="0"/>
                <w:color w:val="172033"/>
                <w:sz w:val="15"/>
              </w:rPr>
              <w:t>Forecast hourly/daily transaction count and value by merchant/category/location with P50/P90 or equivalent uncertainty.</w:t>
            </w:r>
          </w:p>
        </w:tc>
        <w:tc>
          <w:tcPr>
            <w:tcW w:type="dxa" w:w="864"/>
            <w:vAlign w:val="center"/>
            <w:shd w:fill="F7F9FC"/>
          </w:tcPr>
          <w:p>
            <w:pPr>
              <w:spacing w:after="20"/>
            </w:pPr>
            <w:r/>
            <w:r>
              <w:rPr>
                <w:b w:val="0"/>
                <w:color w:val="172033"/>
                <w:sz w:val="15"/>
              </w:rPr>
              <w:t>Must</w:t>
            </w:r>
          </w:p>
        </w:tc>
      </w:tr>
      <w:tr>
        <w:tc>
          <w:tcPr>
            <w:tcW w:type="dxa" w:w="792"/>
            <w:vAlign w:val="center"/>
          </w:tcPr>
          <w:p>
            <w:pPr>
              <w:spacing w:after="20"/>
            </w:pPr>
            <w:r/>
            <w:r>
              <w:rPr>
                <w:b w:val="0"/>
                <w:color w:val="172033"/>
                <w:sz w:val="15"/>
              </w:rPr>
              <w:t>FR-003</w:t>
            </w:r>
          </w:p>
        </w:tc>
        <w:tc>
          <w:tcPr>
            <w:tcW w:type="dxa" w:w="1944"/>
            <w:vAlign w:val="center"/>
          </w:tcPr>
          <w:p>
            <w:pPr>
              <w:spacing w:after="20"/>
            </w:pPr>
            <w:r/>
            <w:r>
              <w:rPr>
                <w:b w:val="0"/>
                <w:color w:val="172033"/>
                <w:sz w:val="15"/>
              </w:rPr>
              <w:t>Merchant Growth Recommendations</w:t>
            </w:r>
          </w:p>
        </w:tc>
        <w:tc>
          <w:tcPr>
            <w:tcW w:type="dxa" w:w="6480"/>
            <w:vAlign w:val="center"/>
          </w:tcPr>
          <w:p>
            <w:pPr>
              <w:spacing w:after="20"/>
            </w:pPr>
            <w:r/>
            <w:r>
              <w:rPr>
                <w:b w:val="0"/>
                <w:color w:val="172033"/>
                <w:sz w:val="15"/>
              </w:rPr>
              <w:t>Generate ranked, evidence-backed actions such as timing, service mix or retention outreach; include reason and expected effect.</w:t>
            </w:r>
          </w:p>
        </w:tc>
        <w:tc>
          <w:tcPr>
            <w:tcW w:type="dxa" w:w="864"/>
            <w:vAlign w:val="center"/>
          </w:tcPr>
          <w:p>
            <w:pPr>
              <w:spacing w:after="20"/>
            </w:pPr>
            <w:r/>
            <w:r>
              <w:rPr>
                <w:b w:val="0"/>
                <w:color w:val="172033"/>
                <w:sz w:val="15"/>
              </w:rPr>
              <w:t>Must</w:t>
            </w:r>
          </w:p>
        </w:tc>
      </w:tr>
      <w:tr>
        <w:tc>
          <w:tcPr>
            <w:tcW w:type="dxa" w:w="792"/>
            <w:vAlign w:val="center"/>
            <w:shd w:fill="F7F9FC"/>
          </w:tcPr>
          <w:p>
            <w:pPr>
              <w:spacing w:after="20"/>
            </w:pPr>
            <w:r/>
            <w:r>
              <w:rPr>
                <w:b w:val="0"/>
                <w:color w:val="172033"/>
                <w:sz w:val="15"/>
              </w:rPr>
              <w:t>FR-004</w:t>
            </w:r>
          </w:p>
        </w:tc>
        <w:tc>
          <w:tcPr>
            <w:tcW w:type="dxa" w:w="1944"/>
            <w:vAlign w:val="center"/>
            <w:shd w:fill="F7F9FC"/>
          </w:tcPr>
          <w:p>
            <w:pPr>
              <w:spacing w:after="20"/>
            </w:pPr>
            <w:r/>
            <w:r>
              <w:rPr>
                <w:b w:val="0"/>
                <w:color w:val="172033"/>
                <w:sz w:val="15"/>
              </w:rPr>
              <w:t>Merchant Churn Prediction</w:t>
            </w:r>
          </w:p>
        </w:tc>
        <w:tc>
          <w:tcPr>
            <w:tcW w:type="dxa" w:w="6480"/>
            <w:vAlign w:val="center"/>
            <w:shd w:fill="F7F9FC"/>
          </w:tcPr>
          <w:p>
            <w:pPr>
              <w:spacing w:after="20"/>
            </w:pPr>
            <w:r/>
            <w:r>
              <w:rPr>
                <w:b w:val="0"/>
                <w:color w:val="172033"/>
                <w:sz w:val="15"/>
              </w:rPr>
              <w:t>Score inactivity risk over configurable horizon and show top contributing factors and trend.</w:t>
            </w:r>
          </w:p>
        </w:tc>
        <w:tc>
          <w:tcPr>
            <w:tcW w:type="dxa" w:w="864"/>
            <w:vAlign w:val="center"/>
            <w:shd w:fill="F7F9FC"/>
          </w:tcPr>
          <w:p>
            <w:pPr>
              <w:spacing w:after="20"/>
            </w:pPr>
            <w:r/>
            <w:r>
              <w:rPr>
                <w:b w:val="0"/>
                <w:color w:val="172033"/>
                <w:sz w:val="15"/>
              </w:rPr>
              <w:t>Must</w:t>
            </w:r>
          </w:p>
        </w:tc>
      </w:tr>
      <w:tr>
        <w:tc>
          <w:tcPr>
            <w:tcW w:type="dxa" w:w="792"/>
            <w:vAlign w:val="center"/>
          </w:tcPr>
          <w:p>
            <w:pPr>
              <w:spacing w:after="20"/>
            </w:pPr>
            <w:r/>
            <w:r>
              <w:rPr>
                <w:b w:val="0"/>
                <w:color w:val="172033"/>
                <w:sz w:val="15"/>
              </w:rPr>
              <w:t>FR-005</w:t>
            </w:r>
          </w:p>
        </w:tc>
        <w:tc>
          <w:tcPr>
            <w:tcW w:type="dxa" w:w="1944"/>
            <w:vAlign w:val="center"/>
          </w:tcPr>
          <w:p>
            <w:pPr>
              <w:spacing w:after="20"/>
            </w:pPr>
            <w:r/>
            <w:r>
              <w:rPr>
                <w:b w:val="0"/>
                <w:color w:val="172033"/>
                <w:sz w:val="15"/>
              </w:rPr>
              <w:t>Merchant Benchmarking</w:t>
            </w:r>
          </w:p>
        </w:tc>
        <w:tc>
          <w:tcPr>
            <w:tcW w:type="dxa" w:w="6480"/>
            <w:vAlign w:val="center"/>
          </w:tcPr>
          <w:p>
            <w:pPr>
              <w:spacing w:after="20"/>
            </w:pPr>
            <w:r/>
            <w:r>
              <w:rPr>
                <w:b w:val="0"/>
                <w:color w:val="172033"/>
                <w:sz w:val="15"/>
              </w:rPr>
              <w:t>Compare entity with anonymized similar-peer cohort on normalized KPIs and explain gaps.</w:t>
            </w:r>
          </w:p>
        </w:tc>
        <w:tc>
          <w:tcPr>
            <w:tcW w:type="dxa" w:w="864"/>
            <w:vAlign w:val="center"/>
          </w:tcPr>
          <w:p>
            <w:pPr>
              <w:spacing w:after="20"/>
            </w:pPr>
            <w:r/>
            <w:r>
              <w:rPr>
                <w:b w:val="0"/>
                <w:color w:val="172033"/>
                <w:sz w:val="15"/>
              </w:rPr>
              <w:t>Must</w:t>
            </w:r>
          </w:p>
        </w:tc>
      </w:tr>
      <w:tr>
        <w:tc>
          <w:tcPr>
            <w:tcW w:type="dxa" w:w="792"/>
            <w:vAlign w:val="center"/>
            <w:shd w:fill="F7F9FC"/>
          </w:tcPr>
          <w:p>
            <w:pPr>
              <w:spacing w:after="20"/>
            </w:pPr>
            <w:r/>
            <w:r>
              <w:rPr>
                <w:b w:val="0"/>
                <w:color w:val="172033"/>
                <w:sz w:val="15"/>
              </w:rPr>
              <w:t>FR-006</w:t>
            </w:r>
          </w:p>
        </w:tc>
        <w:tc>
          <w:tcPr>
            <w:tcW w:type="dxa" w:w="1944"/>
            <w:vAlign w:val="center"/>
            <w:shd w:fill="F7F9FC"/>
          </w:tcPr>
          <w:p>
            <w:pPr>
              <w:spacing w:after="20"/>
            </w:pPr>
            <w:r/>
            <w:r>
              <w:rPr>
                <w:b w:val="0"/>
                <w:color w:val="172033"/>
                <w:sz w:val="15"/>
              </w:rPr>
              <w:t>Agent Liquidity Forecast</w:t>
            </w:r>
          </w:p>
        </w:tc>
        <w:tc>
          <w:tcPr>
            <w:tcW w:type="dxa" w:w="6480"/>
            <w:vAlign w:val="center"/>
            <w:shd w:fill="F7F9FC"/>
          </w:tcPr>
          <w:p>
            <w:pPr>
              <w:spacing w:after="20"/>
            </w:pPr>
            <w:r/>
            <w:r>
              <w:rPr>
                <w:b w:val="0"/>
                <w:color w:val="172033"/>
                <w:sz w:val="15"/>
              </w:rPr>
              <w:t>Forecast cash-out/cash-in/net liquidity requirement and flag shortage pressure windows.</w:t>
            </w:r>
          </w:p>
        </w:tc>
        <w:tc>
          <w:tcPr>
            <w:tcW w:type="dxa" w:w="864"/>
            <w:vAlign w:val="center"/>
            <w:shd w:fill="F7F9FC"/>
          </w:tcPr>
          <w:p>
            <w:pPr>
              <w:spacing w:after="20"/>
            </w:pPr>
            <w:r/>
            <w:r>
              <w:rPr>
                <w:b w:val="0"/>
                <w:color w:val="172033"/>
                <w:sz w:val="15"/>
              </w:rPr>
              <w:t>Must</w:t>
            </w:r>
          </w:p>
        </w:tc>
      </w:tr>
      <w:tr>
        <w:tc>
          <w:tcPr>
            <w:tcW w:type="dxa" w:w="792"/>
            <w:vAlign w:val="center"/>
          </w:tcPr>
          <w:p>
            <w:pPr>
              <w:spacing w:after="20"/>
            </w:pPr>
            <w:r/>
            <w:r>
              <w:rPr>
                <w:b w:val="0"/>
                <w:color w:val="172033"/>
                <w:sz w:val="15"/>
              </w:rPr>
              <w:t>FR-007</w:t>
            </w:r>
          </w:p>
        </w:tc>
        <w:tc>
          <w:tcPr>
            <w:tcW w:type="dxa" w:w="1944"/>
            <w:vAlign w:val="center"/>
          </w:tcPr>
          <w:p>
            <w:pPr>
              <w:spacing w:after="20"/>
            </w:pPr>
            <w:r/>
            <w:r>
              <w:rPr>
                <w:b w:val="0"/>
                <w:color w:val="172033"/>
                <w:sz w:val="15"/>
              </w:rPr>
              <w:t>Agent Performance Intelligence</w:t>
            </w:r>
          </w:p>
        </w:tc>
        <w:tc>
          <w:tcPr>
            <w:tcW w:type="dxa" w:w="6480"/>
            <w:vAlign w:val="center"/>
          </w:tcPr>
          <w:p>
            <w:pPr>
              <w:spacing w:after="20"/>
            </w:pPr>
            <w:r/>
            <w:r>
              <w:rPr>
                <w:b w:val="0"/>
                <w:color w:val="172033"/>
                <w:sz w:val="15"/>
              </w:rPr>
              <w:t>Detect service gaps, rising performers and abnormal behavior using historical and peer context.</w:t>
            </w:r>
          </w:p>
        </w:tc>
        <w:tc>
          <w:tcPr>
            <w:tcW w:type="dxa" w:w="864"/>
            <w:vAlign w:val="center"/>
          </w:tcPr>
          <w:p>
            <w:pPr>
              <w:spacing w:after="20"/>
            </w:pPr>
            <w:r/>
            <w:r>
              <w:rPr>
                <w:b w:val="0"/>
                <w:color w:val="172033"/>
                <w:sz w:val="15"/>
              </w:rPr>
              <w:t>Must</w:t>
            </w:r>
          </w:p>
        </w:tc>
      </w:tr>
      <w:tr>
        <w:tc>
          <w:tcPr>
            <w:tcW w:type="dxa" w:w="792"/>
            <w:vAlign w:val="center"/>
            <w:shd w:fill="F7F9FC"/>
          </w:tcPr>
          <w:p>
            <w:pPr>
              <w:spacing w:after="20"/>
            </w:pPr>
            <w:r/>
            <w:r>
              <w:rPr>
                <w:b w:val="0"/>
                <w:color w:val="172033"/>
                <w:sz w:val="15"/>
              </w:rPr>
              <w:t>FR-008</w:t>
            </w:r>
          </w:p>
        </w:tc>
        <w:tc>
          <w:tcPr>
            <w:tcW w:type="dxa" w:w="1944"/>
            <w:vAlign w:val="center"/>
            <w:shd w:fill="F7F9FC"/>
          </w:tcPr>
          <w:p>
            <w:pPr>
              <w:spacing w:after="20"/>
            </w:pPr>
            <w:r/>
            <w:r>
              <w:rPr>
                <w:b w:val="0"/>
                <w:color w:val="172033"/>
                <w:sz w:val="15"/>
              </w:rPr>
              <w:t>Location Intelligence</w:t>
            </w:r>
          </w:p>
        </w:tc>
        <w:tc>
          <w:tcPr>
            <w:tcW w:type="dxa" w:w="6480"/>
            <w:vAlign w:val="center"/>
            <w:shd w:fill="F7F9FC"/>
          </w:tcPr>
          <w:p>
            <w:pPr>
              <w:spacing w:after="20"/>
            </w:pPr>
            <w:r/>
            <w:r>
              <w:rPr>
                <w:b w:val="0"/>
                <w:color w:val="172033"/>
                <w:sz w:val="15"/>
              </w:rPr>
              <w:t>Rank geographic cells/areas for additional coverage using demand proxy, distance, density and service-gap features.</w:t>
            </w:r>
          </w:p>
        </w:tc>
        <w:tc>
          <w:tcPr>
            <w:tcW w:type="dxa" w:w="864"/>
            <w:vAlign w:val="center"/>
            <w:shd w:fill="F7F9FC"/>
          </w:tcPr>
          <w:p>
            <w:pPr>
              <w:spacing w:after="20"/>
            </w:pPr>
            <w:r/>
            <w:r>
              <w:rPr>
                <w:b w:val="0"/>
                <w:color w:val="172033"/>
                <w:sz w:val="15"/>
              </w:rPr>
              <w:t>Must</w:t>
            </w:r>
          </w:p>
        </w:tc>
      </w:tr>
      <w:tr>
        <w:tc>
          <w:tcPr>
            <w:tcW w:type="dxa" w:w="792"/>
            <w:vAlign w:val="center"/>
          </w:tcPr>
          <w:p>
            <w:pPr>
              <w:spacing w:after="20"/>
            </w:pPr>
            <w:r/>
            <w:r>
              <w:rPr>
                <w:b w:val="0"/>
                <w:color w:val="172033"/>
                <w:sz w:val="15"/>
              </w:rPr>
              <w:t>FR-009</w:t>
            </w:r>
          </w:p>
        </w:tc>
        <w:tc>
          <w:tcPr>
            <w:tcW w:type="dxa" w:w="1944"/>
            <w:vAlign w:val="center"/>
          </w:tcPr>
          <w:p>
            <w:pPr>
              <w:spacing w:after="20"/>
            </w:pPr>
            <w:r/>
            <w:r>
              <w:rPr>
                <w:b w:val="0"/>
                <w:color w:val="172033"/>
                <w:sz w:val="15"/>
              </w:rPr>
              <w:t>AI Action Center</w:t>
            </w:r>
          </w:p>
        </w:tc>
        <w:tc>
          <w:tcPr>
            <w:tcW w:type="dxa" w:w="6480"/>
            <w:vAlign w:val="center"/>
          </w:tcPr>
          <w:p>
            <w:pPr>
              <w:spacing w:after="20"/>
            </w:pPr>
            <w:r/>
            <w:r>
              <w:rPr>
                <w:b w:val="0"/>
                <w:color w:val="172033"/>
                <w:sz w:val="15"/>
              </w:rPr>
              <w:t>Convert signals into prioritized actions with severity, confidence, owner, due state and human disposition.</w:t>
            </w:r>
          </w:p>
        </w:tc>
        <w:tc>
          <w:tcPr>
            <w:tcW w:type="dxa" w:w="864"/>
            <w:vAlign w:val="center"/>
          </w:tcPr>
          <w:p>
            <w:pPr>
              <w:spacing w:after="20"/>
            </w:pPr>
            <w:r/>
            <w:r>
              <w:rPr>
                <w:b w:val="0"/>
                <w:color w:val="172033"/>
                <w:sz w:val="15"/>
              </w:rPr>
              <w:t>Must</w:t>
            </w:r>
          </w:p>
        </w:tc>
      </w:tr>
      <w:tr>
        <w:tc>
          <w:tcPr>
            <w:tcW w:type="dxa" w:w="792"/>
            <w:vAlign w:val="center"/>
            <w:shd w:fill="F7F9FC"/>
          </w:tcPr>
          <w:p>
            <w:pPr>
              <w:spacing w:after="20"/>
            </w:pPr>
            <w:r/>
            <w:r>
              <w:rPr>
                <w:b w:val="0"/>
                <w:color w:val="172033"/>
                <w:sz w:val="15"/>
              </w:rPr>
              <w:t>FR-010</w:t>
            </w:r>
          </w:p>
        </w:tc>
        <w:tc>
          <w:tcPr>
            <w:tcW w:type="dxa" w:w="1944"/>
            <w:vAlign w:val="center"/>
            <w:shd w:fill="F7F9FC"/>
          </w:tcPr>
          <w:p>
            <w:pPr>
              <w:spacing w:after="20"/>
            </w:pPr>
            <w:r/>
            <w:r>
              <w:rPr>
                <w:b w:val="0"/>
                <w:color w:val="172033"/>
                <w:sz w:val="15"/>
              </w:rPr>
              <w:t>What-if Simulator</w:t>
            </w:r>
          </w:p>
        </w:tc>
        <w:tc>
          <w:tcPr>
            <w:tcW w:type="dxa" w:w="6480"/>
            <w:vAlign w:val="center"/>
            <w:shd w:fill="F7F9FC"/>
          </w:tcPr>
          <w:p>
            <w:pPr>
              <w:spacing w:after="20"/>
            </w:pPr>
            <w:r/>
            <w:r>
              <w:rPr>
                <w:b w:val="0"/>
                <w:color w:val="172033"/>
                <w:sz w:val="15"/>
              </w:rPr>
              <w:t>Allow authorized users to change assumptions (growth, demand, liquidity buffer) and view projected outcomes without changing source data.</w:t>
            </w:r>
          </w:p>
        </w:tc>
        <w:tc>
          <w:tcPr>
            <w:tcW w:type="dxa" w:w="864"/>
            <w:vAlign w:val="center"/>
            <w:shd w:fill="F7F9FC"/>
          </w:tcPr>
          <w:p>
            <w:pPr>
              <w:spacing w:after="20"/>
            </w:pPr>
            <w:r/>
            <w:r>
              <w:rPr>
                <w:b w:val="0"/>
                <w:color w:val="172033"/>
                <w:sz w:val="15"/>
              </w:rPr>
              <w:t>Should</w:t>
            </w:r>
          </w:p>
        </w:tc>
      </w:tr>
      <w:tr>
        <w:tc>
          <w:tcPr>
            <w:tcW w:type="dxa" w:w="792"/>
            <w:vAlign w:val="center"/>
          </w:tcPr>
          <w:p>
            <w:pPr>
              <w:spacing w:after="20"/>
            </w:pPr>
            <w:r/>
            <w:r>
              <w:rPr>
                <w:b w:val="0"/>
                <w:color w:val="172033"/>
                <w:sz w:val="15"/>
              </w:rPr>
              <w:t>FR-011</w:t>
            </w:r>
          </w:p>
        </w:tc>
        <w:tc>
          <w:tcPr>
            <w:tcW w:type="dxa" w:w="1944"/>
            <w:vAlign w:val="center"/>
          </w:tcPr>
          <w:p>
            <w:pPr>
              <w:spacing w:after="20"/>
            </w:pPr>
            <w:r/>
            <w:r>
              <w:rPr>
                <w:b w:val="0"/>
                <w:color w:val="172033"/>
                <w:sz w:val="15"/>
              </w:rPr>
              <w:t>Explainability</w:t>
            </w:r>
          </w:p>
        </w:tc>
        <w:tc>
          <w:tcPr>
            <w:tcW w:type="dxa" w:w="6480"/>
            <w:vAlign w:val="center"/>
          </w:tcPr>
          <w:p>
            <w:pPr>
              <w:spacing w:after="20"/>
            </w:pPr>
            <w:r/>
            <w:r>
              <w:rPr>
                <w:b w:val="0"/>
                <w:color w:val="172033"/>
                <w:sz w:val="15"/>
              </w:rPr>
              <w:t>Every material model result SHALL expose human-readable drivers and model/feature version metadata.</w:t>
            </w:r>
          </w:p>
        </w:tc>
        <w:tc>
          <w:tcPr>
            <w:tcW w:type="dxa" w:w="864"/>
            <w:vAlign w:val="center"/>
          </w:tcPr>
          <w:p>
            <w:pPr>
              <w:spacing w:after="20"/>
            </w:pPr>
            <w:r/>
            <w:r>
              <w:rPr>
                <w:b w:val="0"/>
                <w:color w:val="172033"/>
                <w:sz w:val="15"/>
              </w:rPr>
              <w:t>Must</w:t>
            </w:r>
          </w:p>
        </w:tc>
      </w:tr>
      <w:tr>
        <w:tc>
          <w:tcPr>
            <w:tcW w:type="dxa" w:w="792"/>
            <w:vAlign w:val="center"/>
            <w:shd w:fill="F7F9FC"/>
          </w:tcPr>
          <w:p>
            <w:pPr>
              <w:spacing w:after="20"/>
            </w:pPr>
            <w:r/>
            <w:r>
              <w:rPr>
                <w:b w:val="0"/>
                <w:color w:val="172033"/>
                <w:sz w:val="15"/>
              </w:rPr>
              <w:t>FR-012</w:t>
            </w:r>
          </w:p>
        </w:tc>
        <w:tc>
          <w:tcPr>
            <w:tcW w:type="dxa" w:w="1944"/>
            <w:vAlign w:val="center"/>
            <w:shd w:fill="F7F9FC"/>
          </w:tcPr>
          <w:p>
            <w:pPr>
              <w:spacing w:after="20"/>
            </w:pPr>
            <w:r/>
            <w:r>
              <w:rPr>
                <w:b w:val="0"/>
                <w:color w:val="172033"/>
                <w:sz w:val="15"/>
              </w:rPr>
              <w:t>Feedback Loop</w:t>
            </w:r>
          </w:p>
        </w:tc>
        <w:tc>
          <w:tcPr>
            <w:tcW w:type="dxa" w:w="6480"/>
            <w:vAlign w:val="center"/>
            <w:shd w:fill="F7F9FC"/>
          </w:tcPr>
          <w:p>
            <w:pPr>
              <w:spacing w:after="20"/>
            </w:pPr>
            <w:r/>
            <w:r>
              <w:rPr>
                <w:b w:val="0"/>
                <w:color w:val="172033"/>
                <w:sz w:val="15"/>
              </w:rPr>
              <w:t>Users SHALL mark recommendation accepted/rejected/completed and record outcome for future validation.</w:t>
            </w:r>
          </w:p>
        </w:tc>
        <w:tc>
          <w:tcPr>
            <w:tcW w:type="dxa" w:w="864"/>
            <w:vAlign w:val="center"/>
            <w:shd w:fill="F7F9FC"/>
          </w:tcPr>
          <w:p>
            <w:pPr>
              <w:spacing w:after="20"/>
            </w:pPr>
            <w:r/>
            <w:r>
              <w:rPr>
                <w:b w:val="0"/>
                <w:color w:val="172033"/>
                <w:sz w:val="15"/>
              </w:rPr>
              <w:t>Must</w:t>
            </w:r>
          </w:p>
        </w:tc>
      </w:tr>
      <w:tr>
        <w:tc>
          <w:tcPr>
            <w:tcW w:type="dxa" w:w="792"/>
            <w:vAlign w:val="center"/>
          </w:tcPr>
          <w:p>
            <w:pPr>
              <w:spacing w:after="20"/>
            </w:pPr>
            <w:r/>
            <w:r>
              <w:rPr>
                <w:b w:val="0"/>
                <w:color w:val="172033"/>
                <w:sz w:val="15"/>
              </w:rPr>
              <w:t>FR-013</w:t>
            </w:r>
          </w:p>
        </w:tc>
        <w:tc>
          <w:tcPr>
            <w:tcW w:type="dxa" w:w="1944"/>
            <w:vAlign w:val="center"/>
          </w:tcPr>
          <w:p>
            <w:pPr>
              <w:spacing w:after="20"/>
            </w:pPr>
            <w:r/>
            <w:r>
              <w:rPr>
                <w:b w:val="0"/>
                <w:color w:val="172033"/>
                <w:sz w:val="15"/>
              </w:rPr>
              <w:t>Search &amp; Filters</w:t>
            </w:r>
          </w:p>
        </w:tc>
        <w:tc>
          <w:tcPr>
            <w:tcW w:type="dxa" w:w="6480"/>
            <w:vAlign w:val="center"/>
          </w:tcPr>
          <w:p>
            <w:pPr>
              <w:spacing w:after="20"/>
            </w:pPr>
            <w:r/>
            <w:r>
              <w:rPr>
                <w:b w:val="0"/>
                <w:color w:val="172033"/>
                <w:sz w:val="15"/>
              </w:rPr>
              <w:t>Search/filter by region, merchant/agent ID, category, risk, date, model confidence and status.</w:t>
            </w:r>
          </w:p>
        </w:tc>
        <w:tc>
          <w:tcPr>
            <w:tcW w:type="dxa" w:w="864"/>
            <w:vAlign w:val="center"/>
          </w:tcPr>
          <w:p>
            <w:pPr>
              <w:spacing w:after="20"/>
            </w:pPr>
            <w:r/>
            <w:r>
              <w:rPr>
                <w:b w:val="0"/>
                <w:color w:val="172033"/>
                <w:sz w:val="15"/>
              </w:rPr>
              <w:t>Must</w:t>
            </w:r>
          </w:p>
        </w:tc>
      </w:tr>
      <w:tr>
        <w:tc>
          <w:tcPr>
            <w:tcW w:type="dxa" w:w="792"/>
            <w:vAlign w:val="center"/>
            <w:shd w:fill="F7F9FC"/>
          </w:tcPr>
          <w:p>
            <w:pPr>
              <w:spacing w:after="20"/>
            </w:pPr>
            <w:r/>
            <w:r>
              <w:rPr>
                <w:b w:val="0"/>
                <w:color w:val="172033"/>
                <w:sz w:val="15"/>
              </w:rPr>
              <w:t>FR-014</w:t>
            </w:r>
          </w:p>
        </w:tc>
        <w:tc>
          <w:tcPr>
            <w:tcW w:type="dxa" w:w="1944"/>
            <w:vAlign w:val="center"/>
            <w:shd w:fill="F7F9FC"/>
          </w:tcPr>
          <w:p>
            <w:pPr>
              <w:spacing w:after="20"/>
            </w:pPr>
            <w:r/>
            <w:r>
              <w:rPr>
                <w:b w:val="0"/>
                <w:color w:val="172033"/>
                <w:sz w:val="15"/>
              </w:rPr>
              <w:t>Exports</w:t>
            </w:r>
          </w:p>
        </w:tc>
        <w:tc>
          <w:tcPr>
            <w:tcW w:type="dxa" w:w="6480"/>
            <w:vAlign w:val="center"/>
            <w:shd w:fill="F7F9FC"/>
          </w:tcPr>
          <w:p>
            <w:pPr>
              <w:spacing w:after="20"/>
            </w:pPr>
            <w:r/>
            <w:r>
              <w:rPr>
                <w:b w:val="0"/>
                <w:color w:val="172033"/>
                <w:sz w:val="15"/>
              </w:rPr>
              <w:t>Authorized roles MAY export aggregate/synthetic reports to CSV/PDF; sensitive fields excluded by policy.</w:t>
            </w:r>
          </w:p>
        </w:tc>
        <w:tc>
          <w:tcPr>
            <w:tcW w:type="dxa" w:w="864"/>
            <w:vAlign w:val="center"/>
            <w:shd w:fill="F7F9FC"/>
          </w:tcPr>
          <w:p>
            <w:pPr>
              <w:spacing w:after="20"/>
            </w:pPr>
            <w:r/>
            <w:r>
              <w:rPr>
                <w:b w:val="0"/>
                <w:color w:val="172033"/>
                <w:sz w:val="15"/>
              </w:rPr>
              <w:t>Should</w:t>
            </w:r>
          </w:p>
        </w:tc>
      </w:tr>
      <w:tr>
        <w:tc>
          <w:tcPr>
            <w:tcW w:type="dxa" w:w="792"/>
            <w:vAlign w:val="center"/>
          </w:tcPr>
          <w:p>
            <w:pPr>
              <w:spacing w:after="20"/>
            </w:pPr>
            <w:r/>
            <w:r>
              <w:rPr>
                <w:b w:val="0"/>
                <w:color w:val="172033"/>
                <w:sz w:val="15"/>
              </w:rPr>
              <w:t>FR-015</w:t>
            </w:r>
          </w:p>
        </w:tc>
        <w:tc>
          <w:tcPr>
            <w:tcW w:type="dxa" w:w="1944"/>
            <w:vAlign w:val="center"/>
          </w:tcPr>
          <w:p>
            <w:pPr>
              <w:spacing w:after="20"/>
            </w:pPr>
            <w:r/>
            <w:r>
              <w:rPr>
                <w:b w:val="0"/>
                <w:color w:val="172033"/>
                <w:sz w:val="15"/>
              </w:rPr>
              <w:t>Notifications</w:t>
            </w:r>
          </w:p>
        </w:tc>
        <w:tc>
          <w:tcPr>
            <w:tcW w:type="dxa" w:w="6480"/>
            <w:vAlign w:val="center"/>
          </w:tcPr>
          <w:p>
            <w:pPr>
              <w:spacing w:after="20"/>
            </w:pPr>
            <w:r/>
            <w:r>
              <w:rPr>
                <w:b w:val="0"/>
                <w:color w:val="172033"/>
                <w:sz w:val="15"/>
              </w:rPr>
              <w:t>In-app alerts for liquidity pressure, churn escalation, anomalies and model/data incidents.</w:t>
            </w:r>
          </w:p>
        </w:tc>
        <w:tc>
          <w:tcPr>
            <w:tcW w:type="dxa" w:w="864"/>
            <w:vAlign w:val="center"/>
          </w:tcPr>
          <w:p>
            <w:pPr>
              <w:spacing w:after="20"/>
            </w:pPr>
            <w:r/>
            <w:r>
              <w:rPr>
                <w:b w:val="0"/>
                <w:color w:val="172033"/>
                <w:sz w:val="15"/>
              </w:rPr>
              <w:t>Should</w:t>
            </w:r>
          </w:p>
        </w:tc>
      </w:tr>
      <w:tr>
        <w:tc>
          <w:tcPr>
            <w:tcW w:type="dxa" w:w="792"/>
            <w:vAlign w:val="center"/>
            <w:shd w:fill="F7F9FC"/>
          </w:tcPr>
          <w:p>
            <w:pPr>
              <w:spacing w:after="20"/>
            </w:pPr>
            <w:r/>
            <w:r>
              <w:rPr>
                <w:b w:val="0"/>
                <w:color w:val="172033"/>
                <w:sz w:val="15"/>
              </w:rPr>
              <w:t>FR-016</w:t>
            </w:r>
          </w:p>
        </w:tc>
        <w:tc>
          <w:tcPr>
            <w:tcW w:type="dxa" w:w="1944"/>
            <w:vAlign w:val="center"/>
            <w:shd w:fill="F7F9FC"/>
          </w:tcPr>
          <w:p>
            <w:pPr>
              <w:spacing w:after="20"/>
            </w:pPr>
            <w:r/>
            <w:r>
              <w:rPr>
                <w:b w:val="0"/>
                <w:color w:val="172033"/>
                <w:sz w:val="15"/>
              </w:rPr>
              <w:t>Admin Console</w:t>
            </w:r>
          </w:p>
        </w:tc>
        <w:tc>
          <w:tcPr>
            <w:tcW w:type="dxa" w:w="6480"/>
            <w:vAlign w:val="center"/>
            <w:shd w:fill="F7F9FC"/>
          </w:tcPr>
          <w:p>
            <w:pPr>
              <w:spacing w:after="20"/>
            </w:pPr>
            <w:r/>
            <w:r>
              <w:rPr>
                <w:b w:val="0"/>
                <w:color w:val="172033"/>
                <w:sz w:val="15"/>
              </w:rPr>
              <w:t>Manage users, roles, thresholds, model activation, feature flags and audit review.</w:t>
            </w:r>
          </w:p>
        </w:tc>
        <w:tc>
          <w:tcPr>
            <w:tcW w:type="dxa" w:w="864"/>
            <w:vAlign w:val="center"/>
            <w:shd w:fill="F7F9FC"/>
          </w:tcPr>
          <w:p>
            <w:pPr>
              <w:spacing w:after="20"/>
            </w:pPr>
            <w:r/>
            <w:r>
              <w:rPr>
                <w:b w:val="0"/>
                <w:color w:val="172033"/>
                <w:sz w:val="15"/>
              </w:rPr>
              <w:t>Must</w:t>
            </w:r>
          </w:p>
        </w:tc>
      </w:tr>
    </w:tbl>
    <w:p>
      <w:pPr>
        <w:spacing w:after="20"/>
      </w:pPr>
    </w:p>
    <w:p>
      <w:pPr>
        <w:pStyle w:val="Heading1"/>
      </w:pPr>
      <w:r>
        <w:t>4.1 Core User Journeys</w:t>
      </w:r>
    </w:p>
    <w:p>
      <w:pPr>
        <w:pStyle w:val="Heading2"/>
      </w:pPr>
      <w:r>
        <w:t>Merchant growth journey</w:t>
      </w:r>
    </w:p>
    <w:p>
      <w:r>
        <w:t>Open Merchant 360 → review demand trend and benchmark → inspect AI explanation → choose recommended action → record action → observe post-action KPI.</w:t>
      </w:r>
    </w:p>
    <w:p>
      <w:pPr>
        <w:pStyle w:val="Heading2"/>
      </w:pPr>
      <w:r>
        <w:t>Agent liquidity journey</w:t>
      </w:r>
    </w:p>
    <w:p>
      <w:r>
        <w:t>Receive pressure alert → inspect next 6/12/24-hour forecast → review drivers and buffer recommendation → acknowledge/assign → prepare liquidity → close event with outcome.</w:t>
      </w:r>
    </w:p>
    <w:p>
      <w:pPr>
        <w:pStyle w:val="Heading2"/>
      </w:pPr>
      <w:r>
        <w:t>Regional operations journey</w:t>
      </w:r>
    </w:p>
    <w:p>
      <w:r>
        <w:t>Open geospatial command center → filter high-risk zones → inspect merchants/agents → compare opportunity/risk → assign field intervention → track outcome.</w:t>
      </w:r>
    </w:p>
    <w:p>
      <w:pPr>
        <w:pStyle w:val="Heading2"/>
      </w:pPr>
      <w:r>
        <w:t>Analyst investigation journey</w:t>
      </w:r>
    </w:p>
    <w:p>
      <w:r>
        <w:t>Open anomaly → view historical baseline/peer deviation → inspect feature attribution and data quality → classify false/true concern → feed label into validation dataset.</w:t>
      </w:r>
    </w:p>
    <w:p>
      <w:pPr>
        <w:pStyle w:val="Title"/>
      </w:pPr>
      <w:r>
        <w:t>5. AI/ML Requirements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0233F"/>
          </w:tcPr>
          <w:p>
            <w:pPr>
              <w:spacing w:after="20"/>
            </w:pPr>
            <w:r/>
            <w:r>
              <w:rPr>
                <w:b/>
                <w:color w:val="FFFFFF"/>
                <w:sz w:val="16"/>
              </w:rPr>
              <w:t>Capability</w:t>
            </w:r>
          </w:p>
        </w:tc>
        <w:tc>
          <w:tcPr>
            <w:tcW w:type="dxa" w:w="2541"/>
            <w:vAlign w:val="center"/>
            <w:shd w:fill="10233F"/>
          </w:tcPr>
          <w:p>
            <w:pPr>
              <w:spacing w:after="20"/>
            </w:pPr>
            <w:r/>
            <w:r>
              <w:rPr>
                <w:b/>
                <w:color w:val="FFFFFF"/>
                <w:sz w:val="16"/>
              </w:rPr>
              <w:t>Candidate approach</w:t>
            </w:r>
          </w:p>
        </w:tc>
        <w:tc>
          <w:tcPr>
            <w:tcW w:type="dxa" w:w="2541"/>
            <w:vAlign w:val="center"/>
            <w:shd w:fill="10233F"/>
          </w:tcPr>
          <w:p>
            <w:pPr>
              <w:spacing w:after="20"/>
            </w:pPr>
            <w:r/>
            <w:r>
              <w:rPr>
                <w:b/>
                <w:color w:val="FFFFFF"/>
                <w:sz w:val="16"/>
              </w:rPr>
              <w:t>Primary metrics</w:t>
            </w:r>
          </w:p>
        </w:tc>
        <w:tc>
          <w:tcPr>
            <w:tcW w:type="dxa" w:w="2541"/>
            <w:vAlign w:val="center"/>
            <w:shd w:fill="10233F"/>
          </w:tcPr>
          <w:p>
            <w:pPr>
              <w:spacing w:after="20"/>
            </w:pPr>
            <w:r/>
            <w:r>
              <w:rPr>
                <w:b/>
                <w:color w:val="FFFFFF"/>
                <w:sz w:val="16"/>
              </w:rPr>
              <w:t>Required safeguards</w:t>
            </w:r>
          </w:p>
        </w:tc>
      </w:tr>
      <w:tr>
        <w:tc>
          <w:tcPr>
            <w:tcW w:type="dxa" w:w="2541"/>
            <w:vAlign w:val="center"/>
          </w:tcPr>
          <w:p>
            <w:pPr>
              <w:spacing w:after="20"/>
            </w:pPr>
            <w:r/>
            <w:r>
              <w:rPr>
                <w:b w:val="0"/>
                <w:color w:val="172033"/>
                <w:sz w:val="15"/>
              </w:rPr>
              <w:t>Demand forecasting</w:t>
            </w:r>
          </w:p>
        </w:tc>
        <w:tc>
          <w:tcPr>
            <w:tcW w:type="dxa" w:w="2541"/>
            <w:vAlign w:val="center"/>
          </w:tcPr>
          <w:p>
            <w:pPr>
              <w:spacing w:after="20"/>
            </w:pPr>
            <w:r/>
            <w:r>
              <w:rPr>
                <w:b w:val="0"/>
                <w:color w:val="172033"/>
                <w:sz w:val="15"/>
              </w:rPr>
              <w:t>LightGBM/XGBoost lag features; Prophet/TFT optional comparison</w:t>
            </w:r>
          </w:p>
        </w:tc>
        <w:tc>
          <w:tcPr>
            <w:tcW w:type="dxa" w:w="2541"/>
            <w:vAlign w:val="center"/>
          </w:tcPr>
          <w:p>
            <w:pPr>
              <w:spacing w:after="20"/>
            </w:pPr>
            <w:r/>
            <w:r>
              <w:rPr>
                <w:b w:val="0"/>
                <w:color w:val="172033"/>
                <w:sz w:val="15"/>
              </w:rPr>
              <w:t>MAE, RMSE, WAPE/SMAPE, interval coverage</w:t>
            </w:r>
          </w:p>
        </w:tc>
        <w:tc>
          <w:tcPr>
            <w:tcW w:type="dxa" w:w="2541"/>
            <w:vAlign w:val="center"/>
          </w:tcPr>
          <w:p>
            <w:pPr>
              <w:spacing w:after="20"/>
            </w:pPr>
            <w:r/>
            <w:r>
              <w:rPr>
                <w:b w:val="0"/>
                <w:color w:val="172033"/>
                <w:sz w:val="15"/>
              </w:rPr>
              <w:t>Backtesting by time; seasonality; uncertainty; no future leakage.</w:t>
            </w:r>
          </w:p>
        </w:tc>
      </w:tr>
      <w:tr>
        <w:tc>
          <w:tcPr>
            <w:tcW w:type="dxa" w:w="2541"/>
            <w:vAlign w:val="center"/>
            <w:shd w:fill="F7F9FC"/>
          </w:tcPr>
          <w:p>
            <w:pPr>
              <w:spacing w:after="20"/>
            </w:pPr>
            <w:r/>
            <w:r>
              <w:rPr>
                <w:b w:val="0"/>
                <w:color w:val="172033"/>
                <w:sz w:val="15"/>
              </w:rPr>
              <w:t>Merchant churn</w:t>
            </w:r>
          </w:p>
        </w:tc>
        <w:tc>
          <w:tcPr>
            <w:tcW w:type="dxa" w:w="2541"/>
            <w:vAlign w:val="center"/>
            <w:shd w:fill="F7F9FC"/>
          </w:tcPr>
          <w:p>
            <w:pPr>
              <w:spacing w:after="20"/>
            </w:pPr>
            <w:r/>
            <w:r>
              <w:rPr>
                <w:b w:val="0"/>
                <w:color w:val="172033"/>
                <w:sz w:val="15"/>
              </w:rPr>
              <w:t>LightGBM/XGBoost/logistic baseline</w:t>
            </w:r>
          </w:p>
        </w:tc>
        <w:tc>
          <w:tcPr>
            <w:tcW w:type="dxa" w:w="2541"/>
            <w:vAlign w:val="center"/>
            <w:shd w:fill="F7F9FC"/>
          </w:tcPr>
          <w:p>
            <w:pPr>
              <w:spacing w:after="20"/>
            </w:pPr>
            <w:r/>
            <w:r>
              <w:rPr>
                <w:b w:val="0"/>
                <w:color w:val="172033"/>
                <w:sz w:val="15"/>
              </w:rPr>
              <w:t>PR-AUC, ROC-AUC, recall@K, calibration</w:t>
            </w:r>
          </w:p>
        </w:tc>
        <w:tc>
          <w:tcPr>
            <w:tcW w:type="dxa" w:w="2541"/>
            <w:vAlign w:val="center"/>
            <w:shd w:fill="F7F9FC"/>
          </w:tcPr>
          <w:p>
            <w:pPr>
              <w:spacing w:after="20"/>
            </w:pPr>
            <w:r/>
            <w:r>
              <w:rPr>
                <w:b w:val="0"/>
                <w:color w:val="172033"/>
                <w:sz w:val="15"/>
              </w:rPr>
              <w:t>Explainability, cohort fairness, threshold chosen for intervention capacity.</w:t>
            </w:r>
          </w:p>
        </w:tc>
      </w:tr>
      <w:tr>
        <w:tc>
          <w:tcPr>
            <w:tcW w:type="dxa" w:w="2541"/>
            <w:vAlign w:val="center"/>
          </w:tcPr>
          <w:p>
            <w:pPr>
              <w:spacing w:after="20"/>
            </w:pPr>
            <w:r/>
            <w:r>
              <w:rPr>
                <w:b w:val="0"/>
                <w:color w:val="172033"/>
                <w:sz w:val="15"/>
              </w:rPr>
              <w:t>Growth recommendation</w:t>
            </w:r>
          </w:p>
        </w:tc>
        <w:tc>
          <w:tcPr>
            <w:tcW w:type="dxa" w:w="2541"/>
            <w:vAlign w:val="center"/>
          </w:tcPr>
          <w:p>
            <w:pPr>
              <w:spacing w:after="20"/>
            </w:pPr>
            <w:r/>
            <w:r>
              <w:rPr>
                <w:b w:val="0"/>
                <w:color w:val="172033"/>
                <w:sz w:val="15"/>
              </w:rPr>
              <w:t>Rules + ranking model; contextual bandit only as future work</w:t>
            </w:r>
          </w:p>
        </w:tc>
        <w:tc>
          <w:tcPr>
            <w:tcW w:type="dxa" w:w="2541"/>
            <w:vAlign w:val="center"/>
          </w:tcPr>
          <w:p>
            <w:pPr>
              <w:spacing w:after="20"/>
            </w:pPr>
            <w:r/>
            <w:r>
              <w:rPr>
                <w:b w:val="0"/>
                <w:color w:val="172033"/>
                <w:sz w:val="15"/>
              </w:rPr>
              <w:t>Precision@K, acceptance, uplift in controlled test</w:t>
            </w:r>
          </w:p>
        </w:tc>
        <w:tc>
          <w:tcPr>
            <w:tcW w:type="dxa" w:w="2541"/>
            <w:vAlign w:val="center"/>
          </w:tcPr>
          <w:p>
            <w:pPr>
              <w:spacing w:after="20"/>
            </w:pPr>
            <w:r/>
            <w:r>
              <w:rPr>
                <w:b w:val="0"/>
                <w:color w:val="172033"/>
                <w:sz w:val="15"/>
              </w:rPr>
              <w:t>Do not claim causal uplift without experiment; human choice.</w:t>
            </w:r>
          </w:p>
        </w:tc>
      </w:tr>
      <w:tr>
        <w:tc>
          <w:tcPr>
            <w:tcW w:type="dxa" w:w="2541"/>
            <w:vAlign w:val="center"/>
            <w:shd w:fill="F7F9FC"/>
          </w:tcPr>
          <w:p>
            <w:pPr>
              <w:spacing w:after="20"/>
            </w:pPr>
            <w:r/>
            <w:r>
              <w:rPr>
                <w:b w:val="0"/>
                <w:color w:val="172033"/>
                <w:sz w:val="15"/>
              </w:rPr>
              <w:t>Benchmarking</w:t>
            </w:r>
          </w:p>
        </w:tc>
        <w:tc>
          <w:tcPr>
            <w:tcW w:type="dxa" w:w="2541"/>
            <w:vAlign w:val="center"/>
            <w:shd w:fill="F7F9FC"/>
          </w:tcPr>
          <w:p>
            <w:pPr>
              <w:spacing w:after="20"/>
            </w:pPr>
            <w:r/>
            <w:r>
              <w:rPr>
                <w:b w:val="0"/>
                <w:color w:val="172033"/>
                <w:sz w:val="15"/>
              </w:rPr>
              <w:t>Peer clustering + normalized percentile/z-score</w:t>
            </w:r>
          </w:p>
        </w:tc>
        <w:tc>
          <w:tcPr>
            <w:tcW w:type="dxa" w:w="2541"/>
            <w:vAlign w:val="center"/>
            <w:shd w:fill="F7F9FC"/>
          </w:tcPr>
          <w:p>
            <w:pPr>
              <w:spacing w:after="20"/>
            </w:pPr>
            <w:r/>
            <w:r>
              <w:rPr>
                <w:b w:val="0"/>
                <w:color w:val="172033"/>
                <w:sz w:val="15"/>
              </w:rPr>
              <w:t>Cohort stability, coverage, gap consistency</w:t>
            </w:r>
          </w:p>
        </w:tc>
        <w:tc>
          <w:tcPr>
            <w:tcW w:type="dxa" w:w="2541"/>
            <w:vAlign w:val="center"/>
            <w:shd w:fill="F7F9FC"/>
          </w:tcPr>
          <w:p>
            <w:pPr>
              <w:spacing w:after="20"/>
            </w:pPr>
            <w:r/>
            <w:r>
              <w:rPr>
                <w:b w:val="0"/>
                <w:color w:val="172033"/>
                <w:sz w:val="15"/>
              </w:rPr>
              <w:t>Minimum cohort size; anonymized peers; robust scaling.</w:t>
            </w:r>
          </w:p>
        </w:tc>
      </w:tr>
      <w:tr>
        <w:tc>
          <w:tcPr>
            <w:tcW w:type="dxa" w:w="2541"/>
            <w:vAlign w:val="center"/>
          </w:tcPr>
          <w:p>
            <w:pPr>
              <w:spacing w:after="20"/>
            </w:pPr>
            <w:r/>
            <w:r>
              <w:rPr>
                <w:b w:val="0"/>
                <w:color w:val="172033"/>
                <w:sz w:val="15"/>
              </w:rPr>
              <w:t>Liquidity forecasting</w:t>
            </w:r>
          </w:p>
        </w:tc>
        <w:tc>
          <w:tcPr>
            <w:tcW w:type="dxa" w:w="2541"/>
            <w:vAlign w:val="center"/>
          </w:tcPr>
          <w:p>
            <w:pPr>
              <w:spacing w:after="20"/>
            </w:pPr>
            <w:r/>
            <w:r>
              <w:rPr>
                <w:b w:val="0"/>
                <w:color w:val="172033"/>
                <w:sz w:val="15"/>
              </w:rPr>
              <w:t>Quantile regression / gradient boosting / time series</w:t>
            </w:r>
          </w:p>
        </w:tc>
        <w:tc>
          <w:tcPr>
            <w:tcW w:type="dxa" w:w="2541"/>
            <w:vAlign w:val="center"/>
          </w:tcPr>
          <w:p>
            <w:pPr>
              <w:spacing w:after="20"/>
            </w:pPr>
            <w:r/>
            <w:r>
              <w:rPr>
                <w:b w:val="0"/>
                <w:color w:val="172033"/>
                <w:sz w:val="15"/>
              </w:rPr>
              <w:t>MAE/WAPE, shortage-event recall, interval coverage</w:t>
            </w:r>
          </w:p>
        </w:tc>
        <w:tc>
          <w:tcPr>
            <w:tcW w:type="dxa" w:w="2541"/>
            <w:vAlign w:val="center"/>
          </w:tcPr>
          <w:p>
            <w:pPr>
              <w:spacing w:after="20"/>
            </w:pPr>
            <w:r/>
            <w:r>
              <w:rPr>
                <w:b w:val="0"/>
                <w:color w:val="172033"/>
                <w:sz w:val="15"/>
              </w:rPr>
              <w:t>Safety buffer; confidence; manual override.</w:t>
            </w:r>
          </w:p>
        </w:tc>
      </w:tr>
      <w:tr>
        <w:tc>
          <w:tcPr>
            <w:tcW w:type="dxa" w:w="2541"/>
            <w:vAlign w:val="center"/>
            <w:shd w:fill="F7F9FC"/>
          </w:tcPr>
          <w:p>
            <w:pPr>
              <w:spacing w:after="20"/>
            </w:pPr>
            <w:r/>
            <w:r>
              <w:rPr>
                <w:b w:val="0"/>
                <w:color w:val="172033"/>
                <w:sz w:val="15"/>
              </w:rPr>
              <w:t>Performance/anomaly</w:t>
            </w:r>
          </w:p>
        </w:tc>
        <w:tc>
          <w:tcPr>
            <w:tcW w:type="dxa" w:w="2541"/>
            <w:vAlign w:val="center"/>
            <w:shd w:fill="F7F9FC"/>
          </w:tcPr>
          <w:p>
            <w:pPr>
              <w:spacing w:after="20"/>
            </w:pPr>
            <w:r/>
            <w:r>
              <w:rPr>
                <w:b w:val="0"/>
                <w:color w:val="172033"/>
                <w:sz w:val="15"/>
              </w:rPr>
              <w:t>Isolation Forest + robust z-score + peer deviation</w:t>
            </w:r>
          </w:p>
        </w:tc>
        <w:tc>
          <w:tcPr>
            <w:tcW w:type="dxa" w:w="2541"/>
            <w:vAlign w:val="center"/>
            <w:shd w:fill="F7F9FC"/>
          </w:tcPr>
          <w:p>
            <w:pPr>
              <w:spacing w:after="20"/>
            </w:pPr>
            <w:r/>
            <w:r>
              <w:rPr>
                <w:b w:val="0"/>
                <w:color w:val="172033"/>
                <w:sz w:val="15"/>
              </w:rPr>
              <w:t>Precision/recall on injected anomalies</w:t>
            </w:r>
          </w:p>
        </w:tc>
        <w:tc>
          <w:tcPr>
            <w:tcW w:type="dxa" w:w="2541"/>
            <w:vAlign w:val="center"/>
            <w:shd w:fill="F7F9FC"/>
          </w:tcPr>
          <w:p>
            <w:pPr>
              <w:spacing w:after="20"/>
            </w:pPr>
            <w:r/>
            <w:r>
              <w:rPr>
                <w:b w:val="0"/>
                <w:color w:val="172033"/>
                <w:sz w:val="15"/>
              </w:rPr>
              <w:t>No automatic punitive action; analyst review.</w:t>
            </w:r>
          </w:p>
        </w:tc>
      </w:tr>
      <w:tr>
        <w:tc>
          <w:tcPr>
            <w:tcW w:type="dxa" w:w="2541"/>
            <w:vAlign w:val="center"/>
          </w:tcPr>
          <w:p>
            <w:pPr>
              <w:spacing w:after="20"/>
            </w:pPr>
            <w:r/>
            <w:r>
              <w:rPr>
                <w:b w:val="0"/>
                <w:color w:val="172033"/>
                <w:sz w:val="15"/>
              </w:rPr>
              <w:t>Location intelligence</w:t>
            </w:r>
          </w:p>
        </w:tc>
        <w:tc>
          <w:tcPr>
            <w:tcW w:type="dxa" w:w="2541"/>
            <w:vAlign w:val="center"/>
          </w:tcPr>
          <w:p>
            <w:pPr>
              <w:spacing w:after="20"/>
            </w:pPr>
            <w:r/>
            <w:r>
              <w:rPr>
                <w:b w:val="0"/>
                <w:color w:val="172033"/>
                <w:sz w:val="15"/>
              </w:rPr>
              <w:t>Weighted geospatial opportunity model + clustering</w:t>
            </w:r>
          </w:p>
        </w:tc>
        <w:tc>
          <w:tcPr>
            <w:tcW w:type="dxa" w:w="2541"/>
            <w:vAlign w:val="center"/>
          </w:tcPr>
          <w:p>
            <w:pPr>
              <w:spacing w:after="20"/>
            </w:pPr>
            <w:r/>
            <w:r>
              <w:rPr>
                <w:b w:val="0"/>
                <w:color w:val="172033"/>
                <w:sz w:val="15"/>
              </w:rPr>
              <w:t>Coverage gain proxy, ranking precision</w:t>
            </w:r>
          </w:p>
        </w:tc>
        <w:tc>
          <w:tcPr>
            <w:tcW w:type="dxa" w:w="2541"/>
            <w:vAlign w:val="center"/>
          </w:tcPr>
          <w:p>
            <w:pPr>
              <w:spacing w:after="20"/>
            </w:pPr>
            <w:r/>
            <w:r>
              <w:rPr>
                <w:b w:val="0"/>
                <w:color w:val="172033"/>
                <w:sz w:val="15"/>
              </w:rPr>
              <w:t>Avoid sensitive demographic proxies; transparent factors.</w:t>
            </w:r>
          </w:p>
        </w:tc>
      </w:tr>
    </w:tbl>
    <w:p>
      <w:pPr>
        <w:spacing w:after="20"/>
      </w:pPr>
    </w:p>
    <w:p>
      <w:pPr>
        <w:pStyle w:val="Heading1"/>
      </w:pPr>
      <w:r>
        <w:t>5.1 AI Output Contract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Field</w:t>
            </w:r>
          </w:p>
        </w:tc>
        <w:tc>
          <w:tcPr>
            <w:tcW w:type="dxa" w:w="5083"/>
            <w:vAlign w:val="center"/>
            <w:shd w:fill="10233F"/>
          </w:tcPr>
          <w:p>
            <w:pPr>
              <w:spacing w:after="20"/>
            </w:pPr>
            <w:r/>
            <w:r>
              <w:rPr>
                <w:b/>
                <w:color w:val="FFFFFF"/>
                <w:sz w:val="16"/>
              </w:rPr>
              <w:t>Requirement</w:t>
            </w:r>
          </w:p>
        </w:tc>
      </w:tr>
      <w:tr>
        <w:tc>
          <w:tcPr>
            <w:tcW w:type="dxa" w:w="5083"/>
            <w:vAlign w:val="center"/>
          </w:tcPr>
          <w:p>
            <w:pPr>
              <w:spacing w:after="20"/>
            </w:pPr>
            <w:r/>
            <w:r>
              <w:rPr>
                <w:b w:val="0"/>
                <w:color w:val="172033"/>
                <w:sz w:val="15"/>
              </w:rPr>
              <w:t>prediction</w:t>
            </w:r>
          </w:p>
        </w:tc>
        <w:tc>
          <w:tcPr>
            <w:tcW w:type="dxa" w:w="5083"/>
            <w:vAlign w:val="center"/>
          </w:tcPr>
          <w:p>
            <w:pPr>
              <w:spacing w:after="20"/>
            </w:pPr>
            <w:r/>
            <w:r>
              <w:rPr>
                <w:b w:val="0"/>
                <w:color w:val="172033"/>
                <w:sz w:val="15"/>
              </w:rPr>
              <w:t>Numeric/class result with unit and horizon.</w:t>
            </w:r>
          </w:p>
        </w:tc>
      </w:tr>
      <w:tr>
        <w:tc>
          <w:tcPr>
            <w:tcW w:type="dxa" w:w="5083"/>
            <w:vAlign w:val="center"/>
            <w:shd w:fill="F7F9FC"/>
          </w:tcPr>
          <w:p>
            <w:pPr>
              <w:spacing w:after="20"/>
            </w:pPr>
            <w:r/>
            <w:r>
              <w:rPr>
                <w:b w:val="0"/>
                <w:color w:val="172033"/>
                <w:sz w:val="15"/>
              </w:rPr>
              <w:t>confidence</w:t>
            </w:r>
          </w:p>
        </w:tc>
        <w:tc>
          <w:tcPr>
            <w:tcW w:type="dxa" w:w="5083"/>
            <w:vAlign w:val="center"/>
            <w:shd w:fill="F7F9FC"/>
          </w:tcPr>
          <w:p>
            <w:pPr>
              <w:spacing w:after="20"/>
            </w:pPr>
            <w:r/>
            <w:r>
              <w:rPr>
                <w:b w:val="0"/>
                <w:color w:val="172033"/>
                <w:sz w:val="15"/>
              </w:rPr>
              <w:t>Calibrated probability or uncertainty band; never fabricated by LLM.</w:t>
            </w:r>
          </w:p>
        </w:tc>
      </w:tr>
      <w:tr>
        <w:tc>
          <w:tcPr>
            <w:tcW w:type="dxa" w:w="5083"/>
            <w:vAlign w:val="center"/>
          </w:tcPr>
          <w:p>
            <w:pPr>
              <w:spacing w:after="20"/>
            </w:pPr>
            <w:r/>
            <w:r>
              <w:rPr>
                <w:b w:val="0"/>
                <w:color w:val="172033"/>
                <w:sz w:val="15"/>
              </w:rPr>
              <w:t>reason_codes</w:t>
            </w:r>
          </w:p>
        </w:tc>
        <w:tc>
          <w:tcPr>
            <w:tcW w:type="dxa" w:w="5083"/>
            <w:vAlign w:val="center"/>
          </w:tcPr>
          <w:p>
            <w:pPr>
              <w:spacing w:after="20"/>
            </w:pPr>
            <w:r/>
            <w:r>
              <w:rPr>
                <w:b w:val="0"/>
                <w:color w:val="172033"/>
                <w:sz w:val="15"/>
              </w:rPr>
              <w:t>Top structured drivers from model/feature attribution.</w:t>
            </w:r>
          </w:p>
        </w:tc>
      </w:tr>
      <w:tr>
        <w:tc>
          <w:tcPr>
            <w:tcW w:type="dxa" w:w="5083"/>
            <w:vAlign w:val="center"/>
            <w:shd w:fill="F7F9FC"/>
          </w:tcPr>
          <w:p>
            <w:pPr>
              <w:spacing w:after="20"/>
            </w:pPr>
            <w:r/>
            <w:r>
              <w:rPr>
                <w:b w:val="0"/>
                <w:color w:val="172033"/>
                <w:sz w:val="15"/>
              </w:rPr>
              <w:t>recommended_action</w:t>
            </w:r>
          </w:p>
        </w:tc>
        <w:tc>
          <w:tcPr>
            <w:tcW w:type="dxa" w:w="5083"/>
            <w:vAlign w:val="center"/>
            <w:shd w:fill="F7F9FC"/>
          </w:tcPr>
          <w:p>
            <w:pPr>
              <w:spacing w:after="20"/>
            </w:pPr>
            <w:r/>
            <w:r>
              <w:rPr>
                <w:b w:val="0"/>
                <w:color w:val="172033"/>
                <w:sz w:val="15"/>
              </w:rPr>
              <w:t>Policy-safe action derived from rules/ranking layer.</w:t>
            </w:r>
          </w:p>
        </w:tc>
      </w:tr>
      <w:tr>
        <w:tc>
          <w:tcPr>
            <w:tcW w:type="dxa" w:w="5083"/>
            <w:vAlign w:val="center"/>
          </w:tcPr>
          <w:p>
            <w:pPr>
              <w:spacing w:after="20"/>
            </w:pPr>
            <w:r/>
            <w:r>
              <w:rPr>
                <w:b w:val="0"/>
                <w:color w:val="172033"/>
                <w:sz w:val="15"/>
              </w:rPr>
              <w:t>explanation</w:t>
            </w:r>
          </w:p>
        </w:tc>
        <w:tc>
          <w:tcPr>
            <w:tcW w:type="dxa" w:w="5083"/>
            <w:vAlign w:val="center"/>
          </w:tcPr>
          <w:p>
            <w:pPr>
              <w:spacing w:after="20"/>
            </w:pPr>
            <w:r/>
            <w:r>
              <w:rPr>
                <w:b w:val="0"/>
                <w:color w:val="172033"/>
                <w:sz w:val="15"/>
              </w:rPr>
              <w:t>Plain-language rendering grounded only in structured evidence.</w:t>
            </w:r>
          </w:p>
        </w:tc>
      </w:tr>
      <w:tr>
        <w:tc>
          <w:tcPr>
            <w:tcW w:type="dxa" w:w="5083"/>
            <w:vAlign w:val="center"/>
            <w:shd w:fill="F7F9FC"/>
          </w:tcPr>
          <w:p>
            <w:pPr>
              <w:spacing w:after="20"/>
            </w:pPr>
            <w:r/>
            <w:r>
              <w:rPr>
                <w:b w:val="0"/>
                <w:color w:val="172033"/>
                <w:sz w:val="15"/>
              </w:rPr>
              <w:t>model_metadata</w:t>
            </w:r>
          </w:p>
        </w:tc>
        <w:tc>
          <w:tcPr>
            <w:tcW w:type="dxa" w:w="5083"/>
            <w:vAlign w:val="center"/>
            <w:shd w:fill="F7F9FC"/>
          </w:tcPr>
          <w:p>
            <w:pPr>
              <w:spacing w:after="20"/>
            </w:pPr>
            <w:r/>
            <w:r>
              <w:rPr>
                <w:b w:val="0"/>
                <w:color w:val="172033"/>
                <w:sz w:val="15"/>
              </w:rPr>
              <w:t>model_id, version, training snapshot, feature schema version, timestamp.</w:t>
            </w:r>
          </w:p>
        </w:tc>
      </w:tr>
      <w:tr>
        <w:tc>
          <w:tcPr>
            <w:tcW w:type="dxa" w:w="5083"/>
            <w:vAlign w:val="center"/>
          </w:tcPr>
          <w:p>
            <w:pPr>
              <w:spacing w:after="20"/>
            </w:pPr>
            <w:r/>
            <w:r>
              <w:rPr>
                <w:b w:val="0"/>
                <w:color w:val="172033"/>
                <w:sz w:val="15"/>
              </w:rPr>
              <w:t>human_status</w:t>
            </w:r>
          </w:p>
        </w:tc>
        <w:tc>
          <w:tcPr>
            <w:tcW w:type="dxa" w:w="5083"/>
            <w:vAlign w:val="center"/>
          </w:tcPr>
          <w:p>
            <w:pPr>
              <w:spacing w:after="20"/>
            </w:pPr>
            <w:r/>
            <w:r>
              <w:rPr>
                <w:b w:val="0"/>
                <w:color w:val="172033"/>
                <w:sz w:val="15"/>
              </w:rPr>
              <w:t>unreviewed / accepted / rejected / completed / escalated.</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3E8"/>
          </w:tcPr>
          <w:p>
            <w:r/>
            <w:r>
              <w:rPr>
                <w:b/>
                <w:color w:val="1F5EFF"/>
              </w:rPr>
              <w:t xml:space="preserve">LLM BOUNDARY  </w:t>
            </w:r>
            <w:r>
              <w:rPr>
                <w:color w:val="172033"/>
                <w:sz w:val="18"/>
              </w:rPr>
              <w:t>The LLM MAY summarize approved structured evidence, but SHALL NOT be the source of truth for risk scores, liquidity values, permissions or consequential decisions. Business rules remain separate from ML predictions and free-form prompts.</w:t>
            </w:r>
          </w:p>
        </w:tc>
      </w:tr>
    </w:tbl>
    <w:p>
      <w:pPr>
        <w:spacing w:after="20"/>
      </w:pPr>
    </w:p>
    <w:p>
      <w:pPr>
        <w:pStyle w:val="Title"/>
      </w:pPr>
      <w:r>
        <w:t>6. Data Engineering &amp; Governance</w:t>
      </w:r>
    </w:p>
    <w:p>
      <w:pPr>
        <w:pStyle w:val="Heading1"/>
      </w:pPr>
      <w:r>
        <w:t>6.1 Synthetic Data Domains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Dataset</w:t>
            </w:r>
          </w:p>
        </w:tc>
        <w:tc>
          <w:tcPr>
            <w:tcW w:type="dxa" w:w="5083"/>
            <w:vAlign w:val="center"/>
            <w:shd w:fill="10233F"/>
          </w:tcPr>
          <w:p>
            <w:pPr>
              <w:spacing w:after="20"/>
            </w:pPr>
            <w:r/>
            <w:r>
              <w:rPr>
                <w:b/>
                <w:color w:val="FFFFFF"/>
                <w:sz w:val="16"/>
              </w:rPr>
              <w:t>Example fields</w:t>
            </w:r>
          </w:p>
        </w:tc>
      </w:tr>
      <w:tr>
        <w:tc>
          <w:tcPr>
            <w:tcW w:type="dxa" w:w="5083"/>
            <w:vAlign w:val="center"/>
          </w:tcPr>
          <w:p>
            <w:pPr>
              <w:spacing w:after="20"/>
            </w:pPr>
            <w:r/>
            <w:r>
              <w:rPr>
                <w:b w:val="0"/>
                <w:color w:val="172033"/>
                <w:sz w:val="15"/>
              </w:rPr>
              <w:t>merchant</w:t>
            </w:r>
          </w:p>
        </w:tc>
        <w:tc>
          <w:tcPr>
            <w:tcW w:type="dxa" w:w="5083"/>
            <w:vAlign w:val="center"/>
          </w:tcPr>
          <w:p>
            <w:pPr>
              <w:spacing w:after="20"/>
            </w:pPr>
            <w:r/>
            <w:r>
              <w:rPr>
                <w:b w:val="0"/>
                <w:color w:val="172033"/>
                <w:sz w:val="15"/>
              </w:rPr>
              <w:t>merchant_id, category, region, onboarding_date, active_days, service_mix</w:t>
            </w:r>
          </w:p>
        </w:tc>
      </w:tr>
      <w:tr>
        <w:tc>
          <w:tcPr>
            <w:tcW w:type="dxa" w:w="5083"/>
            <w:vAlign w:val="center"/>
            <w:shd w:fill="F7F9FC"/>
          </w:tcPr>
          <w:p>
            <w:pPr>
              <w:spacing w:after="20"/>
            </w:pPr>
            <w:r/>
            <w:r>
              <w:rPr>
                <w:b w:val="0"/>
                <w:color w:val="172033"/>
                <w:sz w:val="15"/>
              </w:rPr>
              <w:t>agent</w:t>
            </w:r>
          </w:p>
        </w:tc>
        <w:tc>
          <w:tcPr>
            <w:tcW w:type="dxa" w:w="5083"/>
            <w:vAlign w:val="center"/>
            <w:shd w:fill="F7F9FC"/>
          </w:tcPr>
          <w:p>
            <w:pPr>
              <w:spacing w:after="20"/>
            </w:pPr>
            <w:r/>
            <w:r>
              <w:rPr>
                <w:b w:val="0"/>
                <w:color w:val="172033"/>
                <w:sz w:val="15"/>
              </w:rPr>
              <w:t>agent_id, region, float_capacity, operating_hours, service_availability</w:t>
            </w:r>
          </w:p>
        </w:tc>
      </w:tr>
      <w:tr>
        <w:tc>
          <w:tcPr>
            <w:tcW w:type="dxa" w:w="5083"/>
            <w:vAlign w:val="center"/>
          </w:tcPr>
          <w:p>
            <w:pPr>
              <w:spacing w:after="20"/>
            </w:pPr>
            <w:r/>
            <w:r>
              <w:rPr>
                <w:b w:val="0"/>
                <w:color w:val="172033"/>
                <w:sz w:val="15"/>
              </w:rPr>
              <w:t>transaction_event</w:t>
            </w:r>
          </w:p>
        </w:tc>
        <w:tc>
          <w:tcPr>
            <w:tcW w:type="dxa" w:w="5083"/>
            <w:vAlign w:val="center"/>
          </w:tcPr>
          <w:p>
            <w:pPr>
              <w:spacing w:after="20"/>
            </w:pPr>
            <w:r/>
            <w:r>
              <w:rPr>
                <w:b w:val="0"/>
                <w:color w:val="172033"/>
                <w:sz w:val="15"/>
              </w:rPr>
              <w:t>event_id, entity_id, entity_type, timestamp, txn_type, amount, status, channel</w:t>
            </w:r>
          </w:p>
        </w:tc>
      </w:tr>
      <w:tr>
        <w:tc>
          <w:tcPr>
            <w:tcW w:type="dxa" w:w="5083"/>
            <w:vAlign w:val="center"/>
            <w:shd w:fill="F7F9FC"/>
          </w:tcPr>
          <w:p>
            <w:pPr>
              <w:spacing w:after="20"/>
            </w:pPr>
            <w:r/>
            <w:r>
              <w:rPr>
                <w:b w:val="0"/>
                <w:color w:val="172033"/>
                <w:sz w:val="15"/>
              </w:rPr>
              <w:t>liquidity_snapshot</w:t>
            </w:r>
          </w:p>
        </w:tc>
        <w:tc>
          <w:tcPr>
            <w:tcW w:type="dxa" w:w="5083"/>
            <w:vAlign w:val="center"/>
            <w:shd w:fill="F7F9FC"/>
          </w:tcPr>
          <w:p>
            <w:pPr>
              <w:spacing w:after="20"/>
            </w:pPr>
            <w:r/>
            <w:r>
              <w:rPr>
                <w:b w:val="0"/>
                <w:color w:val="172033"/>
                <w:sz w:val="15"/>
              </w:rPr>
              <w:t>agent_id, timestamp, cash_estimate, e_money_estimate, cash_in, cash_out</w:t>
            </w:r>
          </w:p>
        </w:tc>
      </w:tr>
      <w:tr>
        <w:tc>
          <w:tcPr>
            <w:tcW w:type="dxa" w:w="5083"/>
            <w:vAlign w:val="center"/>
          </w:tcPr>
          <w:p>
            <w:pPr>
              <w:spacing w:after="20"/>
            </w:pPr>
            <w:r/>
            <w:r>
              <w:rPr>
                <w:b w:val="0"/>
                <w:color w:val="172033"/>
                <w:sz w:val="15"/>
              </w:rPr>
              <w:t>location_cell</w:t>
            </w:r>
          </w:p>
        </w:tc>
        <w:tc>
          <w:tcPr>
            <w:tcW w:type="dxa" w:w="5083"/>
            <w:vAlign w:val="center"/>
          </w:tcPr>
          <w:p>
            <w:pPr>
              <w:spacing w:after="20"/>
            </w:pPr>
            <w:r/>
            <w:r>
              <w:rPr>
                <w:b w:val="0"/>
                <w:color w:val="172033"/>
                <w:sz w:val="15"/>
              </w:rPr>
              <w:t>cell_id, lat_bucket, lon_bucket, population/demand proxy, coverage_count, distance features</w:t>
            </w:r>
          </w:p>
        </w:tc>
      </w:tr>
      <w:tr>
        <w:tc>
          <w:tcPr>
            <w:tcW w:type="dxa" w:w="5083"/>
            <w:vAlign w:val="center"/>
            <w:shd w:fill="F7F9FC"/>
          </w:tcPr>
          <w:p>
            <w:pPr>
              <w:spacing w:after="20"/>
            </w:pPr>
            <w:r/>
            <w:r>
              <w:rPr>
                <w:b w:val="0"/>
                <w:color w:val="172033"/>
                <w:sz w:val="15"/>
              </w:rPr>
              <w:t>intervention</w:t>
            </w:r>
          </w:p>
        </w:tc>
        <w:tc>
          <w:tcPr>
            <w:tcW w:type="dxa" w:w="5083"/>
            <w:vAlign w:val="center"/>
            <w:shd w:fill="F7F9FC"/>
          </w:tcPr>
          <w:p>
            <w:pPr>
              <w:spacing w:after="20"/>
            </w:pPr>
            <w:r/>
            <w:r>
              <w:rPr>
                <w:b w:val="0"/>
                <w:color w:val="172033"/>
                <w:sz w:val="15"/>
              </w:rPr>
              <w:t>action_id, target_id, recommendation_id, owner, status, timestamps, outcome</w:t>
            </w:r>
          </w:p>
        </w:tc>
      </w:tr>
      <w:tr>
        <w:tc>
          <w:tcPr>
            <w:tcW w:type="dxa" w:w="5083"/>
            <w:vAlign w:val="center"/>
          </w:tcPr>
          <w:p>
            <w:pPr>
              <w:spacing w:after="20"/>
            </w:pPr>
            <w:r/>
            <w:r>
              <w:rPr>
                <w:b w:val="0"/>
                <w:color w:val="172033"/>
                <w:sz w:val="15"/>
              </w:rPr>
              <w:t>model_feedback</w:t>
            </w:r>
          </w:p>
        </w:tc>
        <w:tc>
          <w:tcPr>
            <w:tcW w:type="dxa" w:w="5083"/>
            <w:vAlign w:val="center"/>
          </w:tcPr>
          <w:p>
            <w:pPr>
              <w:spacing w:after="20"/>
            </w:pPr>
            <w:r/>
            <w:r>
              <w:rPr>
                <w:b w:val="0"/>
                <w:color w:val="172033"/>
                <w:sz w:val="15"/>
              </w:rPr>
              <w:t>prediction_id, human_label, outcome_metric, feedback_timestamp</w:t>
            </w:r>
          </w:p>
        </w:tc>
      </w:tr>
    </w:tbl>
    <w:p>
      <w:pPr>
        <w:spacing w:after="20"/>
      </w:pPr>
    </w:p>
    <w:p>
      <w:pPr>
        <w:pStyle w:val="Heading1"/>
      </w:pPr>
      <w:r>
        <w:t>6.2 Synthetic Data Rules</w:t>
      </w:r>
    </w:p>
    <w:p>
      <w:pPr>
        <w:pStyle w:val="ListBullet"/>
        <w:spacing w:after="40"/>
      </w:pPr>
      <w:r>
        <w:t>Clearly label all demo data as synthetic; never use real names, phone numbers, NID, wallet numbers or exact real customer identifiers.</w:t>
      </w:r>
    </w:p>
    <w:p>
      <w:pPr>
        <w:pStyle w:val="ListBullet"/>
        <w:spacing w:after="40"/>
      </w:pPr>
      <w:r>
        <w:t>Inject documented seasonality, payday/festival effects, churn patterns, liquidity spikes, anomalies and coverage gaps.</w:t>
      </w:r>
    </w:p>
    <w:p>
      <w:pPr>
        <w:pStyle w:val="ListBullet"/>
        <w:spacing w:after="40"/>
      </w:pPr>
      <w:r>
        <w:t>Use deterministic random seeds for reproducibility.</w:t>
      </w:r>
    </w:p>
    <w:p>
      <w:pPr>
        <w:pStyle w:val="ListBullet"/>
        <w:spacing w:after="40"/>
      </w:pPr>
      <w:r>
        <w:t>Create train/validation/test splits with time-aware holdout; the final test set SHALL never be used for training or threshold tuning.</w:t>
      </w:r>
    </w:p>
    <w:p>
      <w:pPr>
        <w:pStyle w:val="ListBullet"/>
        <w:spacing w:after="40"/>
      </w:pPr>
      <w:r>
        <w:t>Maintain a data dictionary, generator assumptions and lineage metadata.</w:t>
      </w:r>
    </w:p>
    <w:p>
      <w:pPr>
        <w:pStyle w:val="ListBullet"/>
        <w:spacing w:after="40"/>
      </w:pPr>
      <w:r>
        <w:t>Run schema, range, null, duplicate, timestamp-order and leakage checks before model training.</w:t>
      </w:r>
    </w:p>
    <w:p>
      <w:pPr>
        <w:pStyle w:val="Heading1"/>
      </w:pPr>
      <w:r>
        <w:t>6.3 Data Pipeline</w:t>
      </w:r>
    </w:p>
    <w:p>
      <w:r>
        <w:t>Synthetic Generator / CSV → Ingestion Validation → Raw Zone → Clean/Conformed Tables → Feature Jobs → Feature Store/Feature Tables → Training Dataset → Model Registry → Online/Batch Inference → Prediction Store → API → User Action → Feedback/Outcome → Evaluation Dataset.</w:t>
      </w:r>
    </w:p>
    <w:p>
      <w:pPr>
        <w:pStyle w:val="Heading1"/>
      </w:pPr>
      <w:r>
        <w:t>6.4 Storage Design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0233F"/>
          </w:tcPr>
          <w:p>
            <w:pPr>
              <w:spacing w:after="20"/>
            </w:pPr>
            <w:r/>
            <w:r>
              <w:rPr>
                <w:b/>
                <w:color w:val="FFFFFF"/>
                <w:sz w:val="16"/>
              </w:rPr>
              <w:t>Store</w:t>
            </w:r>
          </w:p>
        </w:tc>
        <w:tc>
          <w:tcPr>
            <w:tcW w:type="dxa" w:w="3389"/>
            <w:vAlign w:val="center"/>
            <w:shd w:fill="10233F"/>
          </w:tcPr>
          <w:p>
            <w:pPr>
              <w:spacing w:after="20"/>
            </w:pPr>
            <w:r/>
            <w:r>
              <w:rPr>
                <w:b/>
                <w:color w:val="FFFFFF"/>
                <w:sz w:val="16"/>
              </w:rPr>
              <w:t>Purpose</w:t>
            </w:r>
          </w:p>
        </w:tc>
        <w:tc>
          <w:tcPr>
            <w:tcW w:type="dxa" w:w="3389"/>
            <w:vAlign w:val="center"/>
            <w:shd w:fill="10233F"/>
          </w:tcPr>
          <w:p>
            <w:pPr>
              <w:spacing w:after="20"/>
            </w:pPr>
            <w:r/>
            <w:r>
              <w:rPr>
                <w:b/>
                <w:color w:val="FFFFFF"/>
                <w:sz w:val="16"/>
              </w:rPr>
              <w:t>Recommended prototype</w:t>
            </w:r>
          </w:p>
        </w:tc>
      </w:tr>
      <w:tr>
        <w:tc>
          <w:tcPr>
            <w:tcW w:type="dxa" w:w="3389"/>
            <w:vAlign w:val="center"/>
          </w:tcPr>
          <w:p>
            <w:pPr>
              <w:spacing w:after="20"/>
            </w:pPr>
            <w:r/>
            <w:r>
              <w:rPr>
                <w:b w:val="0"/>
                <w:color w:val="172033"/>
                <w:sz w:val="15"/>
              </w:rPr>
              <w:t>PostgreSQL</w:t>
            </w:r>
          </w:p>
        </w:tc>
        <w:tc>
          <w:tcPr>
            <w:tcW w:type="dxa" w:w="3389"/>
            <w:vAlign w:val="center"/>
          </w:tcPr>
          <w:p>
            <w:pPr>
              <w:spacing w:after="20"/>
            </w:pPr>
            <w:r/>
            <w:r>
              <w:rPr>
                <w:b w:val="0"/>
                <w:color w:val="172033"/>
                <w:sz w:val="15"/>
              </w:rPr>
              <w:t>Transactional entities, predictions, actions, users, audit metadata</w:t>
            </w:r>
          </w:p>
        </w:tc>
        <w:tc>
          <w:tcPr>
            <w:tcW w:type="dxa" w:w="3389"/>
            <w:vAlign w:val="center"/>
          </w:tcPr>
          <w:p>
            <w:pPr>
              <w:spacing w:after="20"/>
            </w:pPr>
            <w:r/>
            <w:r>
              <w:rPr>
                <w:b w:val="0"/>
                <w:color w:val="172033"/>
                <w:sz w:val="15"/>
              </w:rPr>
              <w:t>Primary system of record</w:t>
            </w:r>
          </w:p>
        </w:tc>
      </w:tr>
      <w:tr>
        <w:tc>
          <w:tcPr>
            <w:tcW w:type="dxa" w:w="3389"/>
            <w:vAlign w:val="center"/>
            <w:shd w:fill="F7F9FC"/>
          </w:tcPr>
          <w:p>
            <w:pPr>
              <w:spacing w:after="20"/>
            </w:pPr>
            <w:r/>
            <w:r>
              <w:rPr>
                <w:b w:val="0"/>
                <w:color w:val="172033"/>
                <w:sz w:val="15"/>
              </w:rPr>
              <w:t>PostGIS</w:t>
            </w:r>
          </w:p>
        </w:tc>
        <w:tc>
          <w:tcPr>
            <w:tcW w:type="dxa" w:w="3389"/>
            <w:vAlign w:val="center"/>
            <w:shd w:fill="F7F9FC"/>
          </w:tcPr>
          <w:p>
            <w:pPr>
              <w:spacing w:after="20"/>
            </w:pPr>
            <w:r/>
            <w:r>
              <w:rPr>
                <w:b w:val="0"/>
                <w:color w:val="172033"/>
                <w:sz w:val="15"/>
              </w:rPr>
              <w:t>Geospatial cells, distance/coverage queries</w:t>
            </w:r>
          </w:p>
        </w:tc>
        <w:tc>
          <w:tcPr>
            <w:tcW w:type="dxa" w:w="3389"/>
            <w:vAlign w:val="center"/>
            <w:shd w:fill="F7F9FC"/>
          </w:tcPr>
          <w:p>
            <w:pPr>
              <w:spacing w:after="20"/>
            </w:pPr>
            <w:r/>
            <w:r>
              <w:rPr>
                <w:b w:val="0"/>
                <w:color w:val="172033"/>
                <w:sz w:val="15"/>
              </w:rPr>
              <w:t>Location intelligence</w:t>
            </w:r>
          </w:p>
        </w:tc>
      </w:tr>
      <w:tr>
        <w:tc>
          <w:tcPr>
            <w:tcW w:type="dxa" w:w="3389"/>
            <w:vAlign w:val="center"/>
          </w:tcPr>
          <w:p>
            <w:pPr>
              <w:spacing w:after="20"/>
            </w:pPr>
            <w:r/>
            <w:r>
              <w:rPr>
                <w:b w:val="0"/>
                <w:color w:val="172033"/>
                <w:sz w:val="15"/>
              </w:rPr>
              <w:t>Redis</w:t>
            </w:r>
          </w:p>
        </w:tc>
        <w:tc>
          <w:tcPr>
            <w:tcW w:type="dxa" w:w="3389"/>
            <w:vAlign w:val="center"/>
          </w:tcPr>
          <w:p>
            <w:pPr>
              <w:spacing w:after="20"/>
            </w:pPr>
            <w:r/>
            <w:r>
              <w:rPr>
                <w:b w:val="0"/>
                <w:color w:val="172033"/>
                <w:sz w:val="15"/>
              </w:rPr>
              <w:t>Short-lived cache, rate-limit counters, job status</w:t>
            </w:r>
          </w:p>
        </w:tc>
        <w:tc>
          <w:tcPr>
            <w:tcW w:type="dxa" w:w="3389"/>
            <w:vAlign w:val="center"/>
          </w:tcPr>
          <w:p>
            <w:pPr>
              <w:spacing w:after="20"/>
            </w:pPr>
            <w:r/>
            <w:r>
              <w:rPr>
                <w:b w:val="0"/>
                <w:color w:val="172033"/>
                <w:sz w:val="15"/>
              </w:rPr>
              <w:t>Optional but recommended</w:t>
            </w:r>
          </w:p>
        </w:tc>
      </w:tr>
      <w:tr>
        <w:tc>
          <w:tcPr>
            <w:tcW w:type="dxa" w:w="3389"/>
            <w:vAlign w:val="center"/>
            <w:shd w:fill="F7F9FC"/>
          </w:tcPr>
          <w:p>
            <w:pPr>
              <w:spacing w:after="20"/>
            </w:pPr>
            <w:r/>
            <w:r>
              <w:rPr>
                <w:b w:val="0"/>
                <w:color w:val="172033"/>
                <w:sz w:val="15"/>
              </w:rPr>
              <w:t>Object storage</w:t>
            </w:r>
          </w:p>
        </w:tc>
        <w:tc>
          <w:tcPr>
            <w:tcW w:type="dxa" w:w="3389"/>
            <w:vAlign w:val="center"/>
            <w:shd w:fill="F7F9FC"/>
          </w:tcPr>
          <w:p>
            <w:pPr>
              <w:spacing w:after="20"/>
            </w:pPr>
            <w:r/>
            <w:r>
              <w:rPr>
                <w:b w:val="0"/>
                <w:color w:val="172033"/>
                <w:sz w:val="15"/>
              </w:rPr>
              <w:t>Model artifacts, synthetic datasets, reports</w:t>
            </w:r>
          </w:p>
        </w:tc>
        <w:tc>
          <w:tcPr>
            <w:tcW w:type="dxa" w:w="3389"/>
            <w:vAlign w:val="center"/>
            <w:shd w:fill="F7F9FC"/>
          </w:tcPr>
          <w:p>
            <w:pPr>
              <w:spacing w:after="20"/>
            </w:pPr>
            <w:r/>
            <w:r>
              <w:rPr>
                <w:b w:val="0"/>
                <w:color w:val="172033"/>
                <w:sz w:val="15"/>
              </w:rPr>
              <w:t>S3-compatible / local MinIO for prototype</w:t>
            </w:r>
          </w:p>
        </w:tc>
      </w:tr>
      <w:tr>
        <w:tc>
          <w:tcPr>
            <w:tcW w:type="dxa" w:w="3389"/>
            <w:vAlign w:val="center"/>
          </w:tcPr>
          <w:p>
            <w:pPr>
              <w:spacing w:after="20"/>
            </w:pPr>
            <w:r/>
            <w:r>
              <w:rPr>
                <w:b w:val="0"/>
                <w:color w:val="172033"/>
                <w:sz w:val="15"/>
              </w:rPr>
              <w:t>Queue</w:t>
            </w:r>
          </w:p>
        </w:tc>
        <w:tc>
          <w:tcPr>
            <w:tcW w:type="dxa" w:w="3389"/>
            <w:vAlign w:val="center"/>
          </w:tcPr>
          <w:p>
            <w:pPr>
              <w:spacing w:after="20"/>
            </w:pPr>
            <w:r/>
            <w:r>
              <w:rPr>
                <w:b w:val="0"/>
                <w:color w:val="172033"/>
                <w:sz w:val="15"/>
              </w:rPr>
              <w:t>Async forecasts, report generation, retraining jobs</w:t>
            </w:r>
          </w:p>
        </w:tc>
        <w:tc>
          <w:tcPr>
            <w:tcW w:type="dxa" w:w="3389"/>
            <w:vAlign w:val="center"/>
          </w:tcPr>
          <w:p>
            <w:pPr>
              <w:spacing w:after="20"/>
            </w:pPr>
            <w:r/>
            <w:r>
              <w:rPr>
                <w:b w:val="0"/>
                <w:color w:val="172033"/>
                <w:sz w:val="15"/>
              </w:rPr>
              <w:t>Celery/RQ + Redis; Kafka only if scale requires</w:t>
            </w:r>
          </w:p>
        </w:tc>
      </w:tr>
    </w:tbl>
    <w:p>
      <w:pPr>
        <w:spacing w:after="20"/>
      </w:pPr>
    </w:p>
    <w:p>
      <w:pPr>
        <w:pStyle w:val="Title"/>
      </w:pPr>
      <w:r>
        <w:t>7. System Architecture</w:t>
      </w:r>
    </w:p>
    <w:p>
      <w:r>
        <w:t>Architecture decision: use a modular monolith for the competition prototype to reduce deployment complexity while enforcing clear domain boundaries so high-load components can later be extracted into services. This balances prototype speed with a credible production path.</w:t>
      </w:r>
    </w:p>
    <w:p>
      <w:pPr>
        <w:pStyle w:val="Heading1"/>
      </w:pPr>
      <w:r>
        <w:t>7.1 Logical Architecture</w:t>
      </w:r>
    </w:p>
    <w:p>
      <w:pPr>
        <w:pStyle w:val="CodeLike"/>
      </w:pPr>
      <w:r>
        <w:br/>
        <w:t>[ Next.js / React Web App ]</w:t>
        <w:br/>
        <w:t xml:space="preserve"> Merchant | Agent | Analyst | Admin</w:t>
        <w:br/>
        <w:t xml:space="preserve">            |</w:t>
        <w:br/>
        <w:t xml:space="preserve">       HTTPS / REST</w:t>
        <w:br/>
        <w:t xml:space="preserve">            v</w:t>
        <w:br/>
        <w:t>[ FastAPI Application / API Gateway ]</w:t>
        <w:br/>
        <w:t xml:space="preserve"> Auth/RBAC | Validation | Rate Limits | Audit</w:t>
        <w:br/>
        <w:t xml:space="preserve">   |           |             |</w:t>
        <w:br/>
        <w:t xml:space="preserve">   v           v             v</w:t>
        <w:br/>
        <w:t>Merchant   Agent Intel   Location Intel</w:t>
        <w:br/>
        <w:t>Intel      + Liquidity   + Geo Service</w:t>
        <w:br/>
        <w:t xml:space="preserve">   \          |             /</w:t>
        <w:br/>
        <w:t xml:space="preserve">    \         v            /</w:t>
        <w:br/>
        <w:t xml:space="preserve">     ---&gt; [ AI Orchestrator ] ----&gt; [ Explanation Guardrail ]</w:t>
        <w:br/>
        <w:t xml:space="preserve">              |   |   |</w:t>
        <w:br/>
        <w:t xml:space="preserve">        Forecast Churn Anomaly/Rank</w:t>
        <w:br/>
        <w:t xml:space="preserve">              |   |   |</w:t>
        <w:br/>
        <w:t xml:space="preserve">          [ Model Registry ]</w:t>
        <w:br/>
        <w:t xml:space="preserve">              |</w:t>
        <w:br/>
        <w:t xml:space="preserve"> [ PostgreSQL + PostGIS ] &lt;--&gt; [ Redis/Queue ]</w:t>
        <w:br/>
        <w:t xml:space="preserve">              |</w:t>
        <w:br/>
        <w:t xml:space="preserve">       [ Data/Feature Jobs ]</w:t>
        <w:br/>
        <w:t xml:space="preserve">              |</w:t>
        <w:br/>
        <w:t xml:space="preserve">     [ Synthetic Data Lake ]</w:t>
        <w:br/>
        <w:t xml:space="preserve">              |</w:t>
        <w:br/>
        <w:t xml:space="preserve"> [ Metrics / Logs / Traces / Model Monitoring ]</w:t>
        <w:br/>
      </w:r>
    </w:p>
    <w:p>
      <w:pPr>
        <w:pStyle w:val="Heading1"/>
      </w:pPr>
      <w:r>
        <w:t>7.2 Module Boundaries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Module</w:t>
            </w:r>
          </w:p>
        </w:tc>
        <w:tc>
          <w:tcPr>
            <w:tcW w:type="dxa" w:w="5083"/>
            <w:vAlign w:val="center"/>
            <w:shd w:fill="10233F"/>
          </w:tcPr>
          <w:p>
            <w:pPr>
              <w:spacing w:after="20"/>
            </w:pPr>
            <w:r/>
            <w:r>
              <w:rPr>
                <w:b/>
                <w:color w:val="FFFFFF"/>
                <w:sz w:val="16"/>
              </w:rPr>
              <w:t>Responsibility</w:t>
            </w:r>
          </w:p>
        </w:tc>
      </w:tr>
      <w:tr>
        <w:tc>
          <w:tcPr>
            <w:tcW w:type="dxa" w:w="5083"/>
            <w:vAlign w:val="center"/>
          </w:tcPr>
          <w:p>
            <w:pPr>
              <w:spacing w:after="20"/>
            </w:pPr>
            <w:r/>
            <w:r>
              <w:rPr>
                <w:b w:val="0"/>
                <w:color w:val="172033"/>
                <w:sz w:val="15"/>
              </w:rPr>
              <w:t>Identity &amp; Access</w:t>
            </w:r>
          </w:p>
        </w:tc>
        <w:tc>
          <w:tcPr>
            <w:tcW w:type="dxa" w:w="5083"/>
            <w:vAlign w:val="center"/>
          </w:tcPr>
          <w:p>
            <w:pPr>
              <w:spacing w:after="20"/>
            </w:pPr>
            <w:r/>
            <w:r>
              <w:rPr>
                <w:b w:val="0"/>
                <w:color w:val="172033"/>
                <w:sz w:val="15"/>
              </w:rPr>
              <w:t>Authentication, sessions/tokens, MFA-ready controls, RBAC/ABAC scope.</w:t>
            </w:r>
          </w:p>
        </w:tc>
      </w:tr>
      <w:tr>
        <w:tc>
          <w:tcPr>
            <w:tcW w:type="dxa" w:w="5083"/>
            <w:vAlign w:val="center"/>
            <w:shd w:fill="F7F9FC"/>
          </w:tcPr>
          <w:p>
            <w:pPr>
              <w:spacing w:after="20"/>
            </w:pPr>
            <w:r/>
            <w:r>
              <w:rPr>
                <w:b w:val="0"/>
                <w:color w:val="172033"/>
                <w:sz w:val="15"/>
              </w:rPr>
              <w:t>Merchant Intelligence</w:t>
            </w:r>
          </w:p>
        </w:tc>
        <w:tc>
          <w:tcPr>
            <w:tcW w:type="dxa" w:w="5083"/>
            <w:vAlign w:val="center"/>
            <w:shd w:fill="F7F9FC"/>
          </w:tcPr>
          <w:p>
            <w:pPr>
              <w:spacing w:after="20"/>
            </w:pPr>
            <w:r/>
            <w:r>
              <w:rPr>
                <w:b w:val="0"/>
                <w:color w:val="172033"/>
                <w:sz w:val="15"/>
              </w:rPr>
              <w:t>Forecast, churn, benchmark, growth recommendations.</w:t>
            </w:r>
          </w:p>
        </w:tc>
      </w:tr>
      <w:tr>
        <w:tc>
          <w:tcPr>
            <w:tcW w:type="dxa" w:w="5083"/>
            <w:vAlign w:val="center"/>
          </w:tcPr>
          <w:p>
            <w:pPr>
              <w:spacing w:after="20"/>
            </w:pPr>
            <w:r/>
            <w:r>
              <w:rPr>
                <w:b w:val="0"/>
                <w:color w:val="172033"/>
                <w:sz w:val="15"/>
              </w:rPr>
              <w:t>Agent Intelligence</w:t>
            </w:r>
          </w:p>
        </w:tc>
        <w:tc>
          <w:tcPr>
            <w:tcW w:type="dxa" w:w="5083"/>
            <w:vAlign w:val="center"/>
          </w:tcPr>
          <w:p>
            <w:pPr>
              <w:spacing w:after="20"/>
            </w:pPr>
            <w:r/>
            <w:r>
              <w:rPr>
                <w:b w:val="0"/>
                <w:color w:val="172033"/>
                <w:sz w:val="15"/>
              </w:rPr>
              <w:t>Liquidity forecast, performance signals, anomaly workflows.</w:t>
            </w:r>
          </w:p>
        </w:tc>
      </w:tr>
      <w:tr>
        <w:tc>
          <w:tcPr>
            <w:tcW w:type="dxa" w:w="5083"/>
            <w:vAlign w:val="center"/>
            <w:shd w:fill="F7F9FC"/>
          </w:tcPr>
          <w:p>
            <w:pPr>
              <w:spacing w:after="20"/>
            </w:pPr>
            <w:r/>
            <w:r>
              <w:rPr>
                <w:b w:val="0"/>
                <w:color w:val="172033"/>
                <w:sz w:val="15"/>
              </w:rPr>
              <w:t>Location Intelligence</w:t>
            </w:r>
          </w:p>
        </w:tc>
        <w:tc>
          <w:tcPr>
            <w:tcW w:type="dxa" w:w="5083"/>
            <w:vAlign w:val="center"/>
            <w:shd w:fill="F7F9FC"/>
          </w:tcPr>
          <w:p>
            <w:pPr>
              <w:spacing w:after="20"/>
            </w:pPr>
            <w:r/>
            <w:r>
              <w:rPr>
                <w:b w:val="0"/>
                <w:color w:val="172033"/>
                <w:sz w:val="15"/>
              </w:rPr>
              <w:t>Geospatial scoring, heatmaps, candidate zones.</w:t>
            </w:r>
          </w:p>
        </w:tc>
      </w:tr>
      <w:tr>
        <w:tc>
          <w:tcPr>
            <w:tcW w:type="dxa" w:w="5083"/>
            <w:vAlign w:val="center"/>
          </w:tcPr>
          <w:p>
            <w:pPr>
              <w:spacing w:after="20"/>
            </w:pPr>
            <w:r/>
            <w:r>
              <w:rPr>
                <w:b w:val="0"/>
                <w:color w:val="172033"/>
                <w:sz w:val="15"/>
              </w:rPr>
              <w:t>AI Orchestrator</w:t>
            </w:r>
          </w:p>
        </w:tc>
        <w:tc>
          <w:tcPr>
            <w:tcW w:type="dxa" w:w="5083"/>
            <w:vAlign w:val="center"/>
          </w:tcPr>
          <w:p>
            <w:pPr>
              <w:spacing w:after="20"/>
            </w:pPr>
            <w:r/>
            <w:r>
              <w:rPr>
                <w:b w:val="0"/>
                <w:color w:val="172033"/>
                <w:sz w:val="15"/>
              </w:rPr>
              <w:t>Model routing, version selection, input schema validation, prediction persistence.</w:t>
            </w:r>
          </w:p>
        </w:tc>
      </w:tr>
      <w:tr>
        <w:tc>
          <w:tcPr>
            <w:tcW w:type="dxa" w:w="5083"/>
            <w:vAlign w:val="center"/>
            <w:shd w:fill="F7F9FC"/>
          </w:tcPr>
          <w:p>
            <w:pPr>
              <w:spacing w:after="20"/>
            </w:pPr>
            <w:r/>
            <w:r>
              <w:rPr>
                <w:b w:val="0"/>
                <w:color w:val="172033"/>
                <w:sz w:val="15"/>
              </w:rPr>
              <w:t>Explanation Service</w:t>
            </w:r>
          </w:p>
        </w:tc>
        <w:tc>
          <w:tcPr>
            <w:tcW w:type="dxa" w:w="5083"/>
            <w:vAlign w:val="center"/>
            <w:shd w:fill="F7F9FC"/>
          </w:tcPr>
          <w:p>
            <w:pPr>
              <w:spacing w:after="20"/>
            </w:pPr>
            <w:r/>
            <w:r>
              <w:rPr>
                <w:b w:val="0"/>
                <w:color w:val="172033"/>
                <w:sz w:val="15"/>
              </w:rPr>
              <w:t>Transforms structured reason codes into safe, grounded explanations.</w:t>
            </w:r>
          </w:p>
        </w:tc>
      </w:tr>
      <w:tr>
        <w:tc>
          <w:tcPr>
            <w:tcW w:type="dxa" w:w="5083"/>
            <w:vAlign w:val="center"/>
          </w:tcPr>
          <w:p>
            <w:pPr>
              <w:spacing w:after="20"/>
            </w:pPr>
            <w:r/>
            <w:r>
              <w:rPr>
                <w:b w:val="0"/>
                <w:color w:val="172033"/>
                <w:sz w:val="15"/>
              </w:rPr>
              <w:t>Intervention Service</w:t>
            </w:r>
          </w:p>
        </w:tc>
        <w:tc>
          <w:tcPr>
            <w:tcW w:type="dxa" w:w="5083"/>
            <w:vAlign w:val="center"/>
          </w:tcPr>
          <w:p>
            <w:pPr>
              <w:spacing w:after="20"/>
            </w:pPr>
            <w:r/>
            <w:r>
              <w:rPr>
                <w:b w:val="0"/>
                <w:color w:val="172033"/>
                <w:sz w:val="15"/>
              </w:rPr>
              <w:t>Assignments, acknowledgements, status, outcome capture.</w:t>
            </w:r>
          </w:p>
        </w:tc>
      </w:tr>
      <w:tr>
        <w:tc>
          <w:tcPr>
            <w:tcW w:type="dxa" w:w="5083"/>
            <w:vAlign w:val="center"/>
            <w:shd w:fill="F7F9FC"/>
          </w:tcPr>
          <w:p>
            <w:pPr>
              <w:spacing w:after="20"/>
            </w:pPr>
            <w:r/>
            <w:r>
              <w:rPr>
                <w:b w:val="0"/>
                <w:color w:val="172033"/>
                <w:sz w:val="15"/>
              </w:rPr>
              <w:t>Admin &amp; Governance</w:t>
            </w:r>
          </w:p>
        </w:tc>
        <w:tc>
          <w:tcPr>
            <w:tcW w:type="dxa" w:w="5083"/>
            <w:vAlign w:val="center"/>
            <w:shd w:fill="F7F9FC"/>
          </w:tcPr>
          <w:p>
            <w:pPr>
              <w:spacing w:after="20"/>
            </w:pPr>
            <w:r/>
            <w:r>
              <w:rPr>
                <w:b w:val="0"/>
                <w:color w:val="172033"/>
                <w:sz w:val="15"/>
              </w:rPr>
              <w:t>Thresholds, model activation, feature flags, audit access.</w:t>
            </w:r>
          </w:p>
        </w:tc>
      </w:tr>
    </w:tbl>
    <w:p>
      <w:pPr>
        <w:spacing w:after="20"/>
      </w:pPr>
    </w:p>
    <w:p>
      <w:pPr>
        <w:pStyle w:val="Title"/>
      </w:pPr>
      <w:r>
        <w:t>8. Backend &amp; API Specification</w:t>
      </w:r>
    </w:p>
    <w:p>
      <w:pPr>
        <w:pStyle w:val="Heading1"/>
      </w:pPr>
      <w:r>
        <w:t>8.1 Recommended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0233F"/>
          </w:tcPr>
          <w:p>
            <w:pPr>
              <w:spacing w:after="20"/>
            </w:pPr>
            <w:r/>
            <w:r>
              <w:rPr>
                <w:b/>
                <w:color w:val="FFFFFF"/>
                <w:sz w:val="16"/>
              </w:rPr>
              <w:t>Layer</w:t>
            </w:r>
          </w:p>
        </w:tc>
        <w:tc>
          <w:tcPr>
            <w:tcW w:type="dxa" w:w="3389"/>
            <w:vAlign w:val="center"/>
            <w:shd w:fill="10233F"/>
          </w:tcPr>
          <w:p>
            <w:pPr>
              <w:spacing w:after="20"/>
            </w:pPr>
            <w:r/>
            <w:r>
              <w:rPr>
                <w:b/>
                <w:color w:val="FFFFFF"/>
                <w:sz w:val="16"/>
              </w:rPr>
              <w:t>Technology</w:t>
            </w:r>
          </w:p>
        </w:tc>
        <w:tc>
          <w:tcPr>
            <w:tcW w:type="dxa" w:w="3389"/>
            <w:vAlign w:val="center"/>
            <w:shd w:fill="10233F"/>
          </w:tcPr>
          <w:p>
            <w:pPr>
              <w:spacing w:after="20"/>
            </w:pPr>
            <w:r/>
            <w:r>
              <w:rPr>
                <w:b/>
                <w:color w:val="FFFFFF"/>
                <w:sz w:val="16"/>
              </w:rPr>
              <w:t>Rationale</w:t>
            </w:r>
          </w:p>
        </w:tc>
      </w:tr>
      <w:tr>
        <w:tc>
          <w:tcPr>
            <w:tcW w:type="dxa" w:w="3389"/>
            <w:vAlign w:val="center"/>
          </w:tcPr>
          <w:p>
            <w:pPr>
              <w:spacing w:after="20"/>
            </w:pPr>
            <w:r/>
            <w:r>
              <w:rPr>
                <w:b w:val="0"/>
                <w:color w:val="172033"/>
                <w:sz w:val="15"/>
              </w:rPr>
              <w:t>Web</w:t>
            </w:r>
          </w:p>
        </w:tc>
        <w:tc>
          <w:tcPr>
            <w:tcW w:type="dxa" w:w="3389"/>
            <w:vAlign w:val="center"/>
          </w:tcPr>
          <w:p>
            <w:pPr>
              <w:spacing w:after="20"/>
            </w:pPr>
            <w:r/>
            <w:r>
              <w:rPr>
                <w:b w:val="0"/>
                <w:color w:val="172033"/>
                <w:sz w:val="15"/>
              </w:rPr>
              <w:t>Next.js + TypeScript + Tailwind CSS</w:t>
            </w:r>
          </w:p>
        </w:tc>
        <w:tc>
          <w:tcPr>
            <w:tcW w:type="dxa" w:w="3389"/>
            <w:vAlign w:val="center"/>
          </w:tcPr>
          <w:p>
            <w:pPr>
              <w:spacing w:after="20"/>
            </w:pPr>
            <w:r/>
            <w:r>
              <w:rPr>
                <w:b w:val="0"/>
                <w:color w:val="172033"/>
                <w:sz w:val="15"/>
              </w:rPr>
              <w:t>SSR/app routing, performance, typed UI, responsive delivery.</w:t>
            </w:r>
          </w:p>
        </w:tc>
      </w:tr>
      <w:tr>
        <w:tc>
          <w:tcPr>
            <w:tcW w:type="dxa" w:w="3389"/>
            <w:vAlign w:val="center"/>
            <w:shd w:fill="F7F9FC"/>
          </w:tcPr>
          <w:p>
            <w:pPr>
              <w:spacing w:after="20"/>
            </w:pPr>
            <w:r/>
            <w:r>
              <w:rPr>
                <w:b w:val="0"/>
                <w:color w:val="172033"/>
                <w:sz w:val="15"/>
              </w:rPr>
              <w:t>Interactive visuals</w:t>
            </w:r>
          </w:p>
        </w:tc>
        <w:tc>
          <w:tcPr>
            <w:tcW w:type="dxa" w:w="3389"/>
            <w:vAlign w:val="center"/>
            <w:shd w:fill="F7F9FC"/>
          </w:tcPr>
          <w:p>
            <w:pPr>
              <w:spacing w:after="20"/>
            </w:pPr>
            <w:r/>
            <w:r>
              <w:rPr>
                <w:b w:val="0"/>
                <w:color w:val="172033"/>
                <w:sz w:val="15"/>
              </w:rPr>
              <w:t>Framer Motion + GSAP; React Three Fiber selectively</w:t>
            </w:r>
          </w:p>
        </w:tc>
        <w:tc>
          <w:tcPr>
            <w:tcW w:type="dxa" w:w="3389"/>
            <w:vAlign w:val="center"/>
            <w:shd w:fill="F7F9FC"/>
          </w:tcPr>
          <w:p>
            <w:pPr>
              <w:spacing w:after="20"/>
            </w:pPr>
            <w:r/>
            <w:r>
              <w:rPr>
                <w:b w:val="0"/>
                <w:color w:val="172033"/>
                <w:sz w:val="15"/>
              </w:rPr>
              <w:t>Premium 2.5D/3D without making critical workflows GPU-dependent.</w:t>
            </w:r>
          </w:p>
        </w:tc>
      </w:tr>
      <w:tr>
        <w:tc>
          <w:tcPr>
            <w:tcW w:type="dxa" w:w="3389"/>
            <w:vAlign w:val="center"/>
          </w:tcPr>
          <w:p>
            <w:pPr>
              <w:spacing w:after="20"/>
            </w:pPr>
            <w:r/>
            <w:r>
              <w:rPr>
                <w:b w:val="0"/>
                <w:color w:val="172033"/>
                <w:sz w:val="15"/>
              </w:rPr>
              <w:t>API</w:t>
            </w:r>
          </w:p>
        </w:tc>
        <w:tc>
          <w:tcPr>
            <w:tcW w:type="dxa" w:w="3389"/>
            <w:vAlign w:val="center"/>
          </w:tcPr>
          <w:p>
            <w:pPr>
              <w:spacing w:after="20"/>
            </w:pPr>
            <w:r/>
            <w:r>
              <w:rPr>
                <w:b w:val="0"/>
                <w:color w:val="172033"/>
                <w:sz w:val="15"/>
              </w:rPr>
              <w:t>FastAPI + Pydantic</w:t>
            </w:r>
          </w:p>
        </w:tc>
        <w:tc>
          <w:tcPr>
            <w:tcW w:type="dxa" w:w="3389"/>
            <w:vAlign w:val="center"/>
          </w:tcPr>
          <w:p>
            <w:pPr>
              <w:spacing w:after="20"/>
            </w:pPr>
            <w:r/>
            <w:r>
              <w:rPr>
                <w:b w:val="0"/>
                <w:color w:val="172033"/>
                <w:sz w:val="15"/>
              </w:rPr>
              <w:t>Typed contracts, async support, ML/Python integration, OpenAPI.</w:t>
            </w:r>
          </w:p>
        </w:tc>
      </w:tr>
      <w:tr>
        <w:tc>
          <w:tcPr>
            <w:tcW w:type="dxa" w:w="3389"/>
            <w:vAlign w:val="center"/>
            <w:shd w:fill="F7F9FC"/>
          </w:tcPr>
          <w:p>
            <w:pPr>
              <w:spacing w:after="20"/>
            </w:pPr>
            <w:r/>
            <w:r>
              <w:rPr>
                <w:b w:val="0"/>
                <w:color w:val="172033"/>
                <w:sz w:val="15"/>
              </w:rPr>
              <w:t>ORM/migrations</w:t>
            </w:r>
          </w:p>
        </w:tc>
        <w:tc>
          <w:tcPr>
            <w:tcW w:type="dxa" w:w="3389"/>
            <w:vAlign w:val="center"/>
            <w:shd w:fill="F7F9FC"/>
          </w:tcPr>
          <w:p>
            <w:pPr>
              <w:spacing w:after="20"/>
            </w:pPr>
            <w:r/>
            <w:r>
              <w:rPr>
                <w:b w:val="0"/>
                <w:color w:val="172033"/>
                <w:sz w:val="15"/>
              </w:rPr>
              <w:t>SQLAlchemy + Alembic</w:t>
            </w:r>
          </w:p>
        </w:tc>
        <w:tc>
          <w:tcPr>
            <w:tcW w:type="dxa" w:w="3389"/>
            <w:vAlign w:val="center"/>
            <w:shd w:fill="F7F9FC"/>
          </w:tcPr>
          <w:p>
            <w:pPr>
              <w:spacing w:after="20"/>
            </w:pPr>
            <w:r/>
            <w:r>
              <w:rPr>
                <w:b w:val="0"/>
                <w:color w:val="172033"/>
                <w:sz w:val="15"/>
              </w:rPr>
              <w:t>Reliable schema management.</w:t>
            </w:r>
          </w:p>
        </w:tc>
      </w:tr>
      <w:tr>
        <w:tc>
          <w:tcPr>
            <w:tcW w:type="dxa" w:w="3389"/>
            <w:vAlign w:val="center"/>
          </w:tcPr>
          <w:p>
            <w:pPr>
              <w:spacing w:after="20"/>
            </w:pPr>
            <w:r/>
            <w:r>
              <w:rPr>
                <w:b w:val="0"/>
                <w:color w:val="172033"/>
                <w:sz w:val="15"/>
              </w:rPr>
              <w:t>Database</w:t>
            </w:r>
          </w:p>
        </w:tc>
        <w:tc>
          <w:tcPr>
            <w:tcW w:type="dxa" w:w="3389"/>
            <w:vAlign w:val="center"/>
          </w:tcPr>
          <w:p>
            <w:pPr>
              <w:spacing w:after="20"/>
            </w:pPr>
            <w:r/>
            <w:r>
              <w:rPr>
                <w:b w:val="0"/>
                <w:color w:val="172033"/>
                <w:sz w:val="15"/>
              </w:rPr>
              <w:t>PostgreSQL + PostGIS</w:t>
            </w:r>
          </w:p>
        </w:tc>
        <w:tc>
          <w:tcPr>
            <w:tcW w:type="dxa" w:w="3389"/>
            <w:vAlign w:val="center"/>
          </w:tcPr>
          <w:p>
            <w:pPr>
              <w:spacing w:after="20"/>
            </w:pPr>
            <w:r/>
            <w:r>
              <w:rPr>
                <w:b w:val="0"/>
                <w:color w:val="172033"/>
                <w:sz w:val="15"/>
              </w:rPr>
              <w:t>Relational + geospatial requirements.</w:t>
            </w:r>
          </w:p>
        </w:tc>
      </w:tr>
      <w:tr>
        <w:tc>
          <w:tcPr>
            <w:tcW w:type="dxa" w:w="3389"/>
            <w:vAlign w:val="center"/>
            <w:shd w:fill="F7F9FC"/>
          </w:tcPr>
          <w:p>
            <w:pPr>
              <w:spacing w:after="20"/>
            </w:pPr>
            <w:r/>
            <w:r>
              <w:rPr>
                <w:b w:val="0"/>
                <w:color w:val="172033"/>
                <w:sz w:val="15"/>
              </w:rPr>
              <w:t>ML</w:t>
            </w:r>
          </w:p>
        </w:tc>
        <w:tc>
          <w:tcPr>
            <w:tcW w:type="dxa" w:w="3389"/>
            <w:vAlign w:val="center"/>
            <w:shd w:fill="F7F9FC"/>
          </w:tcPr>
          <w:p>
            <w:pPr>
              <w:spacing w:after="20"/>
            </w:pPr>
            <w:r/>
            <w:r>
              <w:rPr>
                <w:b w:val="0"/>
                <w:color w:val="172033"/>
                <w:sz w:val="15"/>
              </w:rPr>
              <w:t>scikit-learn + XGBoost/LightGBM; SHAP</w:t>
            </w:r>
          </w:p>
        </w:tc>
        <w:tc>
          <w:tcPr>
            <w:tcW w:type="dxa" w:w="3389"/>
            <w:vAlign w:val="center"/>
            <w:shd w:fill="F7F9FC"/>
          </w:tcPr>
          <w:p>
            <w:pPr>
              <w:spacing w:after="20"/>
            </w:pPr>
            <w:r/>
            <w:r>
              <w:rPr>
                <w:b w:val="0"/>
                <w:color w:val="172033"/>
                <w:sz w:val="15"/>
              </w:rPr>
              <w:t>Strong tabular/time-series baseline and explainability.</w:t>
            </w:r>
          </w:p>
        </w:tc>
      </w:tr>
      <w:tr>
        <w:tc>
          <w:tcPr>
            <w:tcW w:type="dxa" w:w="3389"/>
            <w:vAlign w:val="center"/>
          </w:tcPr>
          <w:p>
            <w:pPr>
              <w:spacing w:after="20"/>
            </w:pPr>
            <w:r/>
            <w:r>
              <w:rPr>
                <w:b w:val="0"/>
                <w:color w:val="172033"/>
                <w:sz w:val="15"/>
              </w:rPr>
              <w:t>Jobs/cache</w:t>
            </w:r>
          </w:p>
        </w:tc>
        <w:tc>
          <w:tcPr>
            <w:tcW w:type="dxa" w:w="3389"/>
            <w:vAlign w:val="center"/>
          </w:tcPr>
          <w:p>
            <w:pPr>
              <w:spacing w:after="20"/>
            </w:pPr>
            <w:r/>
            <w:r>
              <w:rPr>
                <w:b w:val="0"/>
                <w:color w:val="172033"/>
                <w:sz w:val="15"/>
              </w:rPr>
              <w:t>Redis + Celery/RQ</w:t>
            </w:r>
          </w:p>
        </w:tc>
        <w:tc>
          <w:tcPr>
            <w:tcW w:type="dxa" w:w="3389"/>
            <w:vAlign w:val="center"/>
          </w:tcPr>
          <w:p>
            <w:pPr>
              <w:spacing w:after="20"/>
            </w:pPr>
            <w:r/>
            <w:r>
              <w:rPr>
                <w:b w:val="0"/>
                <w:color w:val="172033"/>
                <w:sz w:val="15"/>
              </w:rPr>
              <w:t>Background inference, caching, scheduled jobs.</w:t>
            </w:r>
          </w:p>
        </w:tc>
      </w:tr>
      <w:tr>
        <w:tc>
          <w:tcPr>
            <w:tcW w:type="dxa" w:w="3389"/>
            <w:vAlign w:val="center"/>
            <w:shd w:fill="F7F9FC"/>
          </w:tcPr>
          <w:p>
            <w:pPr>
              <w:spacing w:after="20"/>
            </w:pPr>
            <w:r/>
            <w:r>
              <w:rPr>
                <w:b w:val="0"/>
                <w:color w:val="172033"/>
                <w:sz w:val="15"/>
              </w:rPr>
              <w:t>Observability</w:t>
            </w:r>
          </w:p>
        </w:tc>
        <w:tc>
          <w:tcPr>
            <w:tcW w:type="dxa" w:w="3389"/>
            <w:vAlign w:val="center"/>
            <w:shd w:fill="F7F9FC"/>
          </w:tcPr>
          <w:p>
            <w:pPr>
              <w:spacing w:after="20"/>
            </w:pPr>
            <w:r/>
            <w:r>
              <w:rPr>
                <w:b w:val="0"/>
                <w:color w:val="172033"/>
                <w:sz w:val="15"/>
              </w:rPr>
              <w:t>OpenTelemetry + Prometheus/Grafana compatible stack</w:t>
            </w:r>
          </w:p>
        </w:tc>
        <w:tc>
          <w:tcPr>
            <w:tcW w:type="dxa" w:w="3389"/>
            <w:vAlign w:val="center"/>
            <w:shd w:fill="F7F9FC"/>
          </w:tcPr>
          <w:p>
            <w:pPr>
              <w:spacing w:after="20"/>
            </w:pPr>
            <w:r/>
            <w:r>
              <w:rPr>
                <w:b w:val="0"/>
                <w:color w:val="172033"/>
                <w:sz w:val="15"/>
              </w:rPr>
              <w:t>Metrics, traces and operational evidence.</w:t>
            </w:r>
          </w:p>
        </w:tc>
      </w:tr>
      <w:tr>
        <w:tc>
          <w:tcPr>
            <w:tcW w:type="dxa" w:w="3389"/>
            <w:vAlign w:val="center"/>
          </w:tcPr>
          <w:p>
            <w:pPr>
              <w:spacing w:after="20"/>
            </w:pPr>
            <w:r/>
            <w:r>
              <w:rPr>
                <w:b w:val="0"/>
                <w:color w:val="172033"/>
                <w:sz w:val="15"/>
              </w:rPr>
              <w:t>Containers</w:t>
            </w:r>
          </w:p>
        </w:tc>
        <w:tc>
          <w:tcPr>
            <w:tcW w:type="dxa" w:w="3389"/>
            <w:vAlign w:val="center"/>
          </w:tcPr>
          <w:p>
            <w:pPr>
              <w:spacing w:after="20"/>
            </w:pPr>
            <w:r/>
            <w:r>
              <w:rPr>
                <w:b w:val="0"/>
                <w:color w:val="172033"/>
                <w:sz w:val="15"/>
              </w:rPr>
              <w:t>Docker; Compose for prototype</w:t>
            </w:r>
          </w:p>
        </w:tc>
        <w:tc>
          <w:tcPr>
            <w:tcW w:type="dxa" w:w="3389"/>
            <w:vAlign w:val="center"/>
          </w:tcPr>
          <w:p>
            <w:pPr>
              <w:spacing w:after="20"/>
            </w:pPr>
            <w:r/>
            <w:r>
              <w:rPr>
                <w:b w:val="0"/>
                <w:color w:val="172033"/>
                <w:sz w:val="15"/>
              </w:rPr>
              <w:t>Reproducible environment and demo deployment.</w:t>
            </w:r>
          </w:p>
        </w:tc>
      </w:tr>
    </w:tbl>
    <w:p>
      <w:pPr>
        <w:spacing w:after="20"/>
      </w:pPr>
    </w:p>
    <w:p>
      <w:pPr>
        <w:pStyle w:val="Heading1"/>
      </w:pPr>
      <w:r>
        <w:t>8.2 API Design Rules</w:t>
      </w:r>
    </w:p>
    <w:p>
      <w:pPr>
        <w:pStyle w:val="ListBullet"/>
        <w:spacing w:after="40"/>
      </w:pPr>
      <w:r>
        <w:t>Base path /api/v1; JSON over HTTPS; OpenAPI generated from code.</w:t>
      </w:r>
    </w:p>
    <w:p>
      <w:pPr>
        <w:pStyle w:val="ListBullet"/>
        <w:spacing w:after="40"/>
      </w:pPr>
      <w:r>
        <w:t>Use UUID/opaque synthetic identifiers; never expose database sequence IDs as authorization boundaries.</w:t>
      </w:r>
    </w:p>
    <w:p>
      <w:pPr>
        <w:pStyle w:val="ListBullet"/>
        <w:spacing w:after="40"/>
      </w:pPr>
      <w:r>
        <w:t>All write endpoints require authentication, authorization, CSRF protection where cookie sessions are used, validation and audit logging.</w:t>
      </w:r>
    </w:p>
    <w:p>
      <w:pPr>
        <w:pStyle w:val="ListBullet"/>
        <w:spacing w:after="40"/>
      </w:pPr>
      <w:r>
        <w:t>Idempotency-Key required for retry-sensitive intervention/action endpoints.</w:t>
      </w:r>
    </w:p>
    <w:p>
      <w:pPr>
        <w:pStyle w:val="ListBullet"/>
        <w:spacing w:after="40"/>
      </w:pPr>
      <w:r>
        <w:t>Pagination via cursor where large datasets are expected; bounded page sizes.</w:t>
      </w:r>
    </w:p>
    <w:p>
      <w:pPr>
        <w:pStyle w:val="ListBullet"/>
        <w:spacing w:after="40"/>
      </w:pPr>
      <w:r>
        <w:t>Consistent error envelope: code, message, correlation_id, safe_details.</w:t>
      </w:r>
    </w:p>
    <w:p>
      <w:pPr>
        <w:pStyle w:val="ListBullet"/>
        <w:spacing w:after="40"/>
      </w:pPr>
      <w:r>
        <w:t>Prediction endpoints return model_version, generated_at, horizon, confidence and reason_codes.</w:t>
      </w:r>
    </w:p>
    <w:p>
      <w:pPr>
        <w:pStyle w:val="ListBullet"/>
        <w:spacing w:after="40"/>
      </w:pPr>
      <w:r>
        <w:t>Long-running jobs return 202 + job_id and expose job status; do not block request threads.</w:t>
      </w:r>
    </w:p>
    <w:tbl>
      <w:tblPr>
        <w:tblStyle w:val="TableGrid"/>
        <w:tblW w:type="auto" w:w="0"/>
        <w:jc w:val="center"/>
        <w:tblLook w:firstColumn="1" w:firstRow="1" w:lastColumn="0" w:lastRow="0" w:noHBand="0" w:noVBand="1" w:val="04A0"/>
      </w:tblPr>
      <w:tblGrid>
        <w:gridCol w:w="3389"/>
        <w:gridCol w:w="3389"/>
        <w:gridCol w:w="3389"/>
      </w:tblGrid>
      <w:tr>
        <w:tc>
          <w:tcPr>
            <w:tcW w:type="dxa" w:w="936"/>
            <w:vAlign w:val="center"/>
            <w:shd w:fill="10233F"/>
          </w:tcPr>
          <w:p>
            <w:pPr>
              <w:spacing w:after="20"/>
            </w:pPr>
            <w:r/>
            <w:r>
              <w:rPr>
                <w:b/>
                <w:color w:val="FFFFFF"/>
                <w:sz w:val="16"/>
              </w:rPr>
              <w:t>Method</w:t>
            </w:r>
          </w:p>
        </w:tc>
        <w:tc>
          <w:tcPr>
            <w:tcW w:type="dxa" w:w="3600"/>
            <w:vAlign w:val="center"/>
            <w:shd w:fill="10233F"/>
          </w:tcPr>
          <w:p>
            <w:pPr>
              <w:spacing w:after="20"/>
            </w:pPr>
            <w:r/>
            <w:r>
              <w:rPr>
                <w:b/>
                <w:color w:val="FFFFFF"/>
                <w:sz w:val="16"/>
              </w:rPr>
              <w:t>Endpoint</w:t>
            </w:r>
          </w:p>
        </w:tc>
        <w:tc>
          <w:tcPr>
            <w:tcW w:type="dxa" w:w="5760"/>
            <w:vAlign w:val="center"/>
            <w:shd w:fill="10233F"/>
          </w:tcPr>
          <w:p>
            <w:pPr>
              <w:spacing w:after="20"/>
            </w:pPr>
            <w:r/>
            <w:r>
              <w:rPr>
                <w:b/>
                <w:color w:val="FFFFFF"/>
                <w:sz w:val="16"/>
              </w:rPr>
              <w:t>Purpose</w:t>
            </w:r>
          </w:p>
        </w:tc>
      </w:tr>
      <w:tr>
        <w:tc>
          <w:tcPr>
            <w:tcW w:type="dxa" w:w="936"/>
            <w:vAlign w:val="center"/>
          </w:tcPr>
          <w:p>
            <w:pPr>
              <w:spacing w:after="20"/>
            </w:pPr>
            <w:r/>
            <w:r>
              <w:rPr>
                <w:b w:val="0"/>
                <w:color w:val="172033"/>
                <w:sz w:val="15"/>
              </w:rPr>
              <w:t>POST</w:t>
            </w:r>
          </w:p>
        </w:tc>
        <w:tc>
          <w:tcPr>
            <w:tcW w:type="dxa" w:w="3600"/>
            <w:vAlign w:val="center"/>
          </w:tcPr>
          <w:p>
            <w:pPr>
              <w:spacing w:after="20"/>
            </w:pPr>
            <w:r/>
            <w:r>
              <w:rPr>
                <w:b w:val="0"/>
                <w:color w:val="172033"/>
                <w:sz w:val="15"/>
              </w:rPr>
              <w:t>/auth/login</w:t>
            </w:r>
          </w:p>
        </w:tc>
        <w:tc>
          <w:tcPr>
            <w:tcW w:type="dxa" w:w="5760"/>
            <w:vAlign w:val="center"/>
          </w:tcPr>
          <w:p>
            <w:pPr>
              <w:spacing w:after="20"/>
            </w:pPr>
            <w:r/>
            <w:r>
              <w:rPr>
                <w:b w:val="0"/>
                <w:color w:val="172033"/>
                <w:sz w:val="15"/>
              </w:rPr>
              <w:t>Authenticate demo user; issue secure session/token.</w:t>
            </w:r>
          </w:p>
        </w:tc>
      </w:tr>
      <w:tr>
        <w:tc>
          <w:tcPr>
            <w:tcW w:type="dxa" w:w="936"/>
            <w:vAlign w:val="center"/>
            <w:shd w:fill="F7F9FC"/>
          </w:tcPr>
          <w:p>
            <w:pPr>
              <w:spacing w:after="20"/>
            </w:pPr>
            <w:r/>
            <w:r>
              <w:rPr>
                <w:b w:val="0"/>
                <w:color w:val="172033"/>
                <w:sz w:val="15"/>
              </w:rPr>
              <w:t>GET</w:t>
            </w:r>
          </w:p>
        </w:tc>
        <w:tc>
          <w:tcPr>
            <w:tcW w:type="dxa" w:w="3600"/>
            <w:vAlign w:val="center"/>
            <w:shd w:fill="F7F9FC"/>
          </w:tcPr>
          <w:p>
            <w:pPr>
              <w:spacing w:after="20"/>
            </w:pPr>
            <w:r/>
            <w:r>
              <w:rPr>
                <w:b w:val="0"/>
                <w:color w:val="172033"/>
                <w:sz w:val="15"/>
              </w:rPr>
              <w:t>/me</w:t>
            </w:r>
          </w:p>
        </w:tc>
        <w:tc>
          <w:tcPr>
            <w:tcW w:type="dxa" w:w="5760"/>
            <w:vAlign w:val="center"/>
            <w:shd w:fill="F7F9FC"/>
          </w:tcPr>
          <w:p>
            <w:pPr>
              <w:spacing w:after="20"/>
            </w:pPr>
            <w:r/>
            <w:r>
              <w:rPr>
                <w:b w:val="0"/>
                <w:color w:val="172033"/>
                <w:sz w:val="15"/>
              </w:rPr>
              <w:t>Current identity, role and authorized region/entity scope.</w:t>
            </w:r>
          </w:p>
        </w:tc>
      </w:tr>
      <w:tr>
        <w:tc>
          <w:tcPr>
            <w:tcW w:type="dxa" w:w="936"/>
            <w:vAlign w:val="center"/>
          </w:tcPr>
          <w:p>
            <w:pPr>
              <w:spacing w:after="20"/>
            </w:pPr>
            <w:r/>
            <w:r>
              <w:rPr>
                <w:b w:val="0"/>
                <w:color w:val="172033"/>
                <w:sz w:val="15"/>
              </w:rPr>
              <w:t>GET</w:t>
            </w:r>
          </w:p>
        </w:tc>
        <w:tc>
          <w:tcPr>
            <w:tcW w:type="dxa" w:w="3600"/>
            <w:vAlign w:val="center"/>
          </w:tcPr>
          <w:p>
            <w:pPr>
              <w:spacing w:after="20"/>
            </w:pPr>
            <w:r/>
            <w:r>
              <w:rPr>
                <w:b w:val="0"/>
                <w:color w:val="172033"/>
                <w:sz w:val="15"/>
              </w:rPr>
              <w:t>/merchants/{id}/overview</w:t>
            </w:r>
          </w:p>
        </w:tc>
        <w:tc>
          <w:tcPr>
            <w:tcW w:type="dxa" w:w="5760"/>
            <w:vAlign w:val="center"/>
          </w:tcPr>
          <w:p>
            <w:pPr>
              <w:spacing w:after="20"/>
            </w:pPr>
            <w:r/>
            <w:r>
              <w:rPr>
                <w:b w:val="0"/>
                <w:color w:val="172033"/>
                <w:sz w:val="15"/>
              </w:rPr>
              <w:t>Merchant KPIs, latest risks, actions.</w:t>
            </w:r>
          </w:p>
        </w:tc>
      </w:tr>
      <w:tr>
        <w:tc>
          <w:tcPr>
            <w:tcW w:type="dxa" w:w="936"/>
            <w:vAlign w:val="center"/>
            <w:shd w:fill="F7F9FC"/>
          </w:tcPr>
          <w:p>
            <w:pPr>
              <w:spacing w:after="20"/>
            </w:pPr>
            <w:r/>
            <w:r>
              <w:rPr>
                <w:b w:val="0"/>
                <w:color w:val="172033"/>
                <w:sz w:val="15"/>
              </w:rPr>
              <w:t>GET</w:t>
            </w:r>
          </w:p>
        </w:tc>
        <w:tc>
          <w:tcPr>
            <w:tcW w:type="dxa" w:w="3600"/>
            <w:vAlign w:val="center"/>
            <w:shd w:fill="F7F9FC"/>
          </w:tcPr>
          <w:p>
            <w:pPr>
              <w:spacing w:after="20"/>
            </w:pPr>
            <w:r/>
            <w:r>
              <w:rPr>
                <w:b w:val="0"/>
                <w:color w:val="172033"/>
                <w:sz w:val="15"/>
              </w:rPr>
              <w:t>/merchants/{id}/forecast</w:t>
            </w:r>
          </w:p>
        </w:tc>
        <w:tc>
          <w:tcPr>
            <w:tcW w:type="dxa" w:w="5760"/>
            <w:vAlign w:val="center"/>
            <w:shd w:fill="F7F9FC"/>
          </w:tcPr>
          <w:p>
            <w:pPr>
              <w:spacing w:after="20"/>
            </w:pPr>
            <w:r/>
            <w:r>
              <w:rPr>
                <w:b w:val="0"/>
                <w:color w:val="172033"/>
                <w:sz w:val="15"/>
              </w:rPr>
              <w:t>Demand forecast by horizon/granularity.</w:t>
            </w:r>
          </w:p>
        </w:tc>
      </w:tr>
      <w:tr>
        <w:tc>
          <w:tcPr>
            <w:tcW w:type="dxa" w:w="936"/>
            <w:vAlign w:val="center"/>
          </w:tcPr>
          <w:p>
            <w:pPr>
              <w:spacing w:after="20"/>
            </w:pPr>
            <w:r/>
            <w:r>
              <w:rPr>
                <w:b w:val="0"/>
                <w:color w:val="172033"/>
                <w:sz w:val="15"/>
              </w:rPr>
              <w:t>GET</w:t>
            </w:r>
          </w:p>
        </w:tc>
        <w:tc>
          <w:tcPr>
            <w:tcW w:type="dxa" w:w="3600"/>
            <w:vAlign w:val="center"/>
          </w:tcPr>
          <w:p>
            <w:pPr>
              <w:spacing w:after="20"/>
            </w:pPr>
            <w:r/>
            <w:r>
              <w:rPr>
                <w:b w:val="0"/>
                <w:color w:val="172033"/>
                <w:sz w:val="15"/>
              </w:rPr>
              <w:t>/merchants/{id}/churn-risk</w:t>
            </w:r>
          </w:p>
        </w:tc>
        <w:tc>
          <w:tcPr>
            <w:tcW w:type="dxa" w:w="5760"/>
            <w:vAlign w:val="center"/>
          </w:tcPr>
          <w:p>
            <w:pPr>
              <w:spacing w:after="20"/>
            </w:pPr>
            <w:r/>
            <w:r>
              <w:rPr>
                <w:b w:val="0"/>
                <w:color w:val="172033"/>
                <w:sz w:val="15"/>
              </w:rPr>
              <w:t>Churn score, calibration, reason codes.</w:t>
            </w:r>
          </w:p>
        </w:tc>
      </w:tr>
      <w:tr>
        <w:tc>
          <w:tcPr>
            <w:tcW w:type="dxa" w:w="936"/>
            <w:vAlign w:val="center"/>
            <w:shd w:fill="F7F9FC"/>
          </w:tcPr>
          <w:p>
            <w:pPr>
              <w:spacing w:after="20"/>
            </w:pPr>
            <w:r/>
            <w:r>
              <w:rPr>
                <w:b w:val="0"/>
                <w:color w:val="172033"/>
                <w:sz w:val="15"/>
              </w:rPr>
              <w:t>GET</w:t>
            </w:r>
          </w:p>
        </w:tc>
        <w:tc>
          <w:tcPr>
            <w:tcW w:type="dxa" w:w="3600"/>
            <w:vAlign w:val="center"/>
            <w:shd w:fill="F7F9FC"/>
          </w:tcPr>
          <w:p>
            <w:pPr>
              <w:spacing w:after="20"/>
            </w:pPr>
            <w:r/>
            <w:r>
              <w:rPr>
                <w:b w:val="0"/>
                <w:color w:val="172033"/>
                <w:sz w:val="15"/>
              </w:rPr>
              <w:t>/merchants/{id}/benchmark</w:t>
            </w:r>
          </w:p>
        </w:tc>
        <w:tc>
          <w:tcPr>
            <w:tcW w:type="dxa" w:w="5760"/>
            <w:vAlign w:val="center"/>
            <w:shd w:fill="F7F9FC"/>
          </w:tcPr>
          <w:p>
            <w:pPr>
              <w:spacing w:after="20"/>
            </w:pPr>
            <w:r/>
            <w:r>
              <w:rPr>
                <w:b w:val="0"/>
                <w:color w:val="172033"/>
                <w:sz w:val="15"/>
              </w:rPr>
              <w:t>Peer cohort benchmark and gaps.</w:t>
            </w:r>
          </w:p>
        </w:tc>
      </w:tr>
      <w:tr>
        <w:tc>
          <w:tcPr>
            <w:tcW w:type="dxa" w:w="936"/>
            <w:vAlign w:val="center"/>
          </w:tcPr>
          <w:p>
            <w:pPr>
              <w:spacing w:after="20"/>
            </w:pPr>
            <w:r/>
            <w:r>
              <w:rPr>
                <w:b w:val="0"/>
                <w:color w:val="172033"/>
                <w:sz w:val="15"/>
              </w:rPr>
              <w:t>GET</w:t>
            </w:r>
          </w:p>
        </w:tc>
        <w:tc>
          <w:tcPr>
            <w:tcW w:type="dxa" w:w="3600"/>
            <w:vAlign w:val="center"/>
          </w:tcPr>
          <w:p>
            <w:pPr>
              <w:spacing w:after="20"/>
            </w:pPr>
            <w:r/>
            <w:r>
              <w:rPr>
                <w:b w:val="0"/>
                <w:color w:val="172033"/>
                <w:sz w:val="15"/>
              </w:rPr>
              <w:t>/merchants/{id}/recommendations</w:t>
            </w:r>
          </w:p>
        </w:tc>
        <w:tc>
          <w:tcPr>
            <w:tcW w:type="dxa" w:w="5760"/>
            <w:vAlign w:val="center"/>
          </w:tcPr>
          <w:p>
            <w:pPr>
              <w:spacing w:after="20"/>
            </w:pPr>
            <w:r/>
            <w:r>
              <w:rPr>
                <w:b w:val="0"/>
                <w:color w:val="172033"/>
                <w:sz w:val="15"/>
              </w:rPr>
              <w:t>Ranked growth actions.</w:t>
            </w:r>
          </w:p>
        </w:tc>
      </w:tr>
      <w:tr>
        <w:tc>
          <w:tcPr>
            <w:tcW w:type="dxa" w:w="936"/>
            <w:vAlign w:val="center"/>
            <w:shd w:fill="F7F9FC"/>
          </w:tcPr>
          <w:p>
            <w:pPr>
              <w:spacing w:after="20"/>
            </w:pPr>
            <w:r/>
            <w:r>
              <w:rPr>
                <w:b w:val="0"/>
                <w:color w:val="172033"/>
                <w:sz w:val="15"/>
              </w:rPr>
              <w:t>GET</w:t>
            </w:r>
          </w:p>
        </w:tc>
        <w:tc>
          <w:tcPr>
            <w:tcW w:type="dxa" w:w="3600"/>
            <w:vAlign w:val="center"/>
            <w:shd w:fill="F7F9FC"/>
          </w:tcPr>
          <w:p>
            <w:pPr>
              <w:spacing w:after="20"/>
            </w:pPr>
            <w:r/>
            <w:r>
              <w:rPr>
                <w:b w:val="0"/>
                <w:color w:val="172033"/>
                <w:sz w:val="15"/>
              </w:rPr>
              <w:t>/agents/{id}/liquidity-forecast</w:t>
            </w:r>
          </w:p>
        </w:tc>
        <w:tc>
          <w:tcPr>
            <w:tcW w:type="dxa" w:w="5760"/>
            <w:vAlign w:val="center"/>
            <w:shd w:fill="F7F9FC"/>
          </w:tcPr>
          <w:p>
            <w:pPr>
              <w:spacing w:after="20"/>
            </w:pPr>
            <w:r/>
            <w:r>
              <w:rPr>
                <w:b w:val="0"/>
                <w:color w:val="172033"/>
                <w:sz w:val="15"/>
              </w:rPr>
              <w:t>Cash/e-money demand and pressure windows.</w:t>
            </w:r>
          </w:p>
        </w:tc>
      </w:tr>
      <w:tr>
        <w:tc>
          <w:tcPr>
            <w:tcW w:type="dxa" w:w="936"/>
            <w:vAlign w:val="center"/>
          </w:tcPr>
          <w:p>
            <w:pPr>
              <w:spacing w:after="20"/>
            </w:pPr>
            <w:r/>
            <w:r>
              <w:rPr>
                <w:b w:val="0"/>
                <w:color w:val="172033"/>
                <w:sz w:val="15"/>
              </w:rPr>
              <w:t>GET</w:t>
            </w:r>
          </w:p>
        </w:tc>
        <w:tc>
          <w:tcPr>
            <w:tcW w:type="dxa" w:w="3600"/>
            <w:vAlign w:val="center"/>
          </w:tcPr>
          <w:p>
            <w:pPr>
              <w:spacing w:after="20"/>
            </w:pPr>
            <w:r/>
            <w:r>
              <w:rPr>
                <w:b w:val="0"/>
                <w:color w:val="172033"/>
                <w:sz w:val="15"/>
              </w:rPr>
              <w:t>/agents/{id}/performance</w:t>
            </w:r>
          </w:p>
        </w:tc>
        <w:tc>
          <w:tcPr>
            <w:tcW w:type="dxa" w:w="5760"/>
            <w:vAlign w:val="center"/>
          </w:tcPr>
          <w:p>
            <w:pPr>
              <w:spacing w:after="20"/>
            </w:pPr>
            <w:r/>
            <w:r>
              <w:rPr>
                <w:b w:val="0"/>
                <w:color w:val="172033"/>
                <w:sz w:val="15"/>
              </w:rPr>
              <w:t>Performance and service-gap signals.</w:t>
            </w:r>
          </w:p>
        </w:tc>
      </w:tr>
      <w:tr>
        <w:tc>
          <w:tcPr>
            <w:tcW w:type="dxa" w:w="936"/>
            <w:vAlign w:val="center"/>
            <w:shd w:fill="F7F9FC"/>
          </w:tcPr>
          <w:p>
            <w:pPr>
              <w:spacing w:after="20"/>
            </w:pPr>
            <w:r/>
            <w:r>
              <w:rPr>
                <w:b w:val="0"/>
                <w:color w:val="172033"/>
                <w:sz w:val="15"/>
              </w:rPr>
              <w:t>GET</w:t>
            </w:r>
          </w:p>
        </w:tc>
        <w:tc>
          <w:tcPr>
            <w:tcW w:type="dxa" w:w="3600"/>
            <w:vAlign w:val="center"/>
            <w:shd w:fill="F7F9FC"/>
          </w:tcPr>
          <w:p>
            <w:pPr>
              <w:spacing w:after="20"/>
            </w:pPr>
            <w:r/>
            <w:r>
              <w:rPr>
                <w:b w:val="0"/>
                <w:color w:val="172033"/>
                <w:sz w:val="15"/>
              </w:rPr>
              <w:t>/agents/{id}/anomalies</w:t>
            </w:r>
          </w:p>
        </w:tc>
        <w:tc>
          <w:tcPr>
            <w:tcW w:type="dxa" w:w="5760"/>
            <w:vAlign w:val="center"/>
            <w:shd w:fill="F7F9FC"/>
          </w:tcPr>
          <w:p>
            <w:pPr>
              <w:spacing w:after="20"/>
            </w:pPr>
            <w:r/>
            <w:r>
              <w:rPr>
                <w:b w:val="0"/>
                <w:color w:val="172033"/>
                <w:sz w:val="15"/>
              </w:rPr>
              <w:t>Abnormal patterns requiring review.</w:t>
            </w:r>
          </w:p>
        </w:tc>
      </w:tr>
      <w:tr>
        <w:tc>
          <w:tcPr>
            <w:tcW w:type="dxa" w:w="936"/>
            <w:vAlign w:val="center"/>
          </w:tcPr>
          <w:p>
            <w:pPr>
              <w:spacing w:after="20"/>
            </w:pPr>
            <w:r/>
            <w:r>
              <w:rPr>
                <w:b w:val="0"/>
                <w:color w:val="172033"/>
                <w:sz w:val="15"/>
              </w:rPr>
              <w:t>GET</w:t>
            </w:r>
          </w:p>
        </w:tc>
        <w:tc>
          <w:tcPr>
            <w:tcW w:type="dxa" w:w="3600"/>
            <w:vAlign w:val="center"/>
          </w:tcPr>
          <w:p>
            <w:pPr>
              <w:spacing w:after="20"/>
            </w:pPr>
            <w:r/>
            <w:r>
              <w:rPr>
                <w:b w:val="0"/>
                <w:color w:val="172033"/>
                <w:sz w:val="15"/>
              </w:rPr>
              <w:t>/locations/opportunities</w:t>
            </w:r>
          </w:p>
        </w:tc>
        <w:tc>
          <w:tcPr>
            <w:tcW w:type="dxa" w:w="5760"/>
            <w:vAlign w:val="center"/>
          </w:tcPr>
          <w:p>
            <w:pPr>
              <w:spacing w:after="20"/>
            </w:pPr>
            <w:r/>
            <w:r>
              <w:rPr>
                <w:b w:val="0"/>
                <w:color w:val="172033"/>
                <w:sz w:val="15"/>
              </w:rPr>
              <w:t>Ranked geo cells and map layers.</w:t>
            </w:r>
          </w:p>
        </w:tc>
      </w:tr>
      <w:tr>
        <w:tc>
          <w:tcPr>
            <w:tcW w:type="dxa" w:w="936"/>
            <w:vAlign w:val="center"/>
            <w:shd w:fill="F7F9FC"/>
          </w:tcPr>
          <w:p>
            <w:pPr>
              <w:spacing w:after="20"/>
            </w:pPr>
            <w:r/>
            <w:r>
              <w:rPr>
                <w:b w:val="0"/>
                <w:color w:val="172033"/>
                <w:sz w:val="15"/>
              </w:rPr>
              <w:t>POST</w:t>
            </w:r>
          </w:p>
        </w:tc>
        <w:tc>
          <w:tcPr>
            <w:tcW w:type="dxa" w:w="3600"/>
            <w:vAlign w:val="center"/>
            <w:shd w:fill="F7F9FC"/>
          </w:tcPr>
          <w:p>
            <w:pPr>
              <w:spacing w:after="20"/>
            </w:pPr>
            <w:r/>
            <w:r>
              <w:rPr>
                <w:b w:val="0"/>
                <w:color w:val="172033"/>
                <w:sz w:val="15"/>
              </w:rPr>
              <w:t>/interventions</w:t>
            </w:r>
          </w:p>
        </w:tc>
        <w:tc>
          <w:tcPr>
            <w:tcW w:type="dxa" w:w="5760"/>
            <w:vAlign w:val="center"/>
            <w:shd w:fill="F7F9FC"/>
          </w:tcPr>
          <w:p>
            <w:pPr>
              <w:spacing w:after="20"/>
            </w:pPr>
            <w:r/>
            <w:r>
              <w:rPr>
                <w:b w:val="0"/>
                <w:color w:val="172033"/>
                <w:sz w:val="15"/>
              </w:rPr>
              <w:t>Create/assign human intervention.</w:t>
            </w:r>
          </w:p>
        </w:tc>
      </w:tr>
      <w:tr>
        <w:tc>
          <w:tcPr>
            <w:tcW w:type="dxa" w:w="936"/>
            <w:vAlign w:val="center"/>
          </w:tcPr>
          <w:p>
            <w:pPr>
              <w:spacing w:after="20"/>
            </w:pPr>
            <w:r/>
            <w:r>
              <w:rPr>
                <w:b w:val="0"/>
                <w:color w:val="172033"/>
                <w:sz w:val="15"/>
              </w:rPr>
              <w:t>PATCH</w:t>
            </w:r>
          </w:p>
        </w:tc>
        <w:tc>
          <w:tcPr>
            <w:tcW w:type="dxa" w:w="3600"/>
            <w:vAlign w:val="center"/>
          </w:tcPr>
          <w:p>
            <w:pPr>
              <w:spacing w:after="20"/>
            </w:pPr>
            <w:r/>
            <w:r>
              <w:rPr>
                <w:b w:val="0"/>
                <w:color w:val="172033"/>
                <w:sz w:val="15"/>
              </w:rPr>
              <w:t>/interventions/{id}</w:t>
            </w:r>
          </w:p>
        </w:tc>
        <w:tc>
          <w:tcPr>
            <w:tcW w:type="dxa" w:w="5760"/>
            <w:vAlign w:val="center"/>
          </w:tcPr>
          <w:p>
            <w:pPr>
              <w:spacing w:after="20"/>
            </w:pPr>
            <w:r/>
            <w:r>
              <w:rPr>
                <w:b w:val="0"/>
                <w:color w:val="172033"/>
                <w:sz w:val="15"/>
              </w:rPr>
              <w:t>Acknowledge/complete/reject with reason.</w:t>
            </w:r>
          </w:p>
        </w:tc>
      </w:tr>
      <w:tr>
        <w:tc>
          <w:tcPr>
            <w:tcW w:type="dxa" w:w="936"/>
            <w:vAlign w:val="center"/>
            <w:shd w:fill="F7F9FC"/>
          </w:tcPr>
          <w:p>
            <w:pPr>
              <w:spacing w:after="20"/>
            </w:pPr>
            <w:r/>
            <w:r>
              <w:rPr>
                <w:b w:val="0"/>
                <w:color w:val="172033"/>
                <w:sz w:val="15"/>
              </w:rPr>
              <w:t>POST</w:t>
            </w:r>
          </w:p>
        </w:tc>
        <w:tc>
          <w:tcPr>
            <w:tcW w:type="dxa" w:w="3600"/>
            <w:vAlign w:val="center"/>
            <w:shd w:fill="F7F9FC"/>
          </w:tcPr>
          <w:p>
            <w:pPr>
              <w:spacing w:after="20"/>
            </w:pPr>
            <w:r/>
            <w:r>
              <w:rPr>
                <w:b w:val="0"/>
                <w:color w:val="172033"/>
                <w:sz w:val="15"/>
              </w:rPr>
              <w:t>/feedback</w:t>
            </w:r>
          </w:p>
        </w:tc>
        <w:tc>
          <w:tcPr>
            <w:tcW w:type="dxa" w:w="5760"/>
            <w:vAlign w:val="center"/>
            <w:shd w:fill="F7F9FC"/>
          </w:tcPr>
          <w:p>
            <w:pPr>
              <w:spacing w:after="20"/>
            </w:pPr>
            <w:r/>
            <w:r>
              <w:rPr>
                <w:b w:val="0"/>
                <w:color w:val="172033"/>
                <w:sz w:val="15"/>
              </w:rPr>
              <w:t>Capture prediction/recommendation outcome.</w:t>
            </w:r>
          </w:p>
        </w:tc>
      </w:tr>
      <w:tr>
        <w:tc>
          <w:tcPr>
            <w:tcW w:type="dxa" w:w="936"/>
            <w:vAlign w:val="center"/>
          </w:tcPr>
          <w:p>
            <w:pPr>
              <w:spacing w:after="20"/>
            </w:pPr>
            <w:r/>
            <w:r>
              <w:rPr>
                <w:b w:val="0"/>
                <w:color w:val="172033"/>
                <w:sz w:val="15"/>
              </w:rPr>
              <w:t>GET</w:t>
            </w:r>
          </w:p>
        </w:tc>
        <w:tc>
          <w:tcPr>
            <w:tcW w:type="dxa" w:w="3600"/>
            <w:vAlign w:val="center"/>
          </w:tcPr>
          <w:p>
            <w:pPr>
              <w:spacing w:after="20"/>
            </w:pPr>
            <w:r/>
            <w:r>
              <w:rPr>
                <w:b w:val="0"/>
                <w:color w:val="172033"/>
                <w:sz w:val="15"/>
              </w:rPr>
              <w:t>/admin/models</w:t>
            </w:r>
          </w:p>
        </w:tc>
        <w:tc>
          <w:tcPr>
            <w:tcW w:type="dxa" w:w="5760"/>
            <w:vAlign w:val="center"/>
          </w:tcPr>
          <w:p>
            <w:pPr>
              <w:spacing w:after="20"/>
            </w:pPr>
            <w:r/>
            <w:r>
              <w:rPr>
                <w:b w:val="0"/>
                <w:color w:val="172033"/>
                <w:sz w:val="15"/>
              </w:rPr>
              <w:t>Model versions, status and metrics.</w:t>
            </w:r>
          </w:p>
        </w:tc>
      </w:tr>
      <w:tr>
        <w:tc>
          <w:tcPr>
            <w:tcW w:type="dxa" w:w="936"/>
            <w:vAlign w:val="center"/>
            <w:shd w:fill="F7F9FC"/>
          </w:tcPr>
          <w:p>
            <w:pPr>
              <w:spacing w:after="20"/>
            </w:pPr>
            <w:r/>
            <w:r>
              <w:rPr>
                <w:b w:val="0"/>
                <w:color w:val="172033"/>
                <w:sz w:val="15"/>
              </w:rPr>
              <w:t>POST</w:t>
            </w:r>
          </w:p>
        </w:tc>
        <w:tc>
          <w:tcPr>
            <w:tcW w:type="dxa" w:w="3600"/>
            <w:vAlign w:val="center"/>
            <w:shd w:fill="F7F9FC"/>
          </w:tcPr>
          <w:p>
            <w:pPr>
              <w:spacing w:after="20"/>
            </w:pPr>
            <w:r/>
            <w:r>
              <w:rPr>
                <w:b w:val="0"/>
                <w:color w:val="172033"/>
                <w:sz w:val="15"/>
              </w:rPr>
              <w:t>/admin/models/{id}/activate</w:t>
            </w:r>
          </w:p>
        </w:tc>
        <w:tc>
          <w:tcPr>
            <w:tcW w:type="dxa" w:w="5760"/>
            <w:vAlign w:val="center"/>
            <w:shd w:fill="F7F9FC"/>
          </w:tcPr>
          <w:p>
            <w:pPr>
              <w:spacing w:after="20"/>
            </w:pPr>
            <w:r/>
            <w:r>
              <w:rPr>
                <w:b w:val="0"/>
                <w:color w:val="172033"/>
                <w:sz w:val="15"/>
              </w:rPr>
              <w:t>Privileged model activation with audit.</w:t>
            </w:r>
          </w:p>
        </w:tc>
      </w:tr>
    </w:tbl>
    <w:p>
      <w:pPr>
        <w:spacing w:after="20"/>
      </w:pPr>
    </w:p>
    <w:p>
      <w:pPr>
        <w:pStyle w:val="Title"/>
      </w:pPr>
      <w:r>
        <w:t>9. Frontend, 3D &amp; Interactive UX</w:t>
      </w:r>
    </w:p>
    <w:p>
      <w:pPr>
        <w:pStyle w:val="Heading1"/>
      </w:pPr>
      <w:r>
        <w:t>9.1 Visual Direction</w:t>
      </w:r>
    </w:p>
    <w:p>
      <w:r>
        <w:t>The experience SHOULD feel like a premium fintech intelligence cockpit: calm, trustworthy and information-dense rather than game-like. Use deep navy/graphite surfaces, high-contrast light mode support, restrained cyan/blue accents, subtle depth, glass panels only where readability remains strong, and data visualizations that prioritize meaning over decoration.</w:t>
      </w:r>
    </w:p>
    <w:p>
      <w:pPr>
        <w:pStyle w:val="Heading1"/>
      </w:pPr>
      <w:r>
        <w:t>9.2 3D / 2.5D Interaction Principles</w:t>
      </w:r>
    </w:p>
    <w:p>
      <w:pPr>
        <w:pStyle w:val="ListBullet"/>
        <w:spacing w:after="40"/>
      </w:pPr>
      <w:r>
        <w:t>Landing hero: animated MFS ecosystem network with merchant/agent nodes, transaction pulses and geographic depth; decorative only and lazy-loaded.</w:t>
      </w:r>
    </w:p>
    <w:p>
      <w:pPr>
        <w:pStyle w:val="ListBullet"/>
        <w:spacing w:after="40"/>
      </w:pPr>
      <w:r>
        <w:t>Command center map: 2.5D extruded opportunity/pressure columns or layered heat surface with accessible 2D fallback.</w:t>
      </w:r>
    </w:p>
    <w:p>
      <w:pPr>
        <w:pStyle w:val="ListBullet"/>
        <w:spacing w:after="40"/>
      </w:pPr>
      <w:r>
        <w:t>Merchant/Agent digital twin card: depth/parallax reacts subtly to pointer movement; no critical information hidden in animation.</w:t>
      </w:r>
    </w:p>
    <w:p>
      <w:pPr>
        <w:pStyle w:val="ListBullet"/>
        <w:spacing w:after="40"/>
      </w:pPr>
      <w:r>
        <w:t>Scroll storytelling for demo: Problem → Intelligence → Action → Measurable Outcome using pinned sections, parallax and progressive chart reveals.</w:t>
      </w:r>
    </w:p>
    <w:p>
      <w:pPr>
        <w:pStyle w:val="ListBullet"/>
        <w:spacing w:after="40"/>
      </w:pPr>
      <w:r>
        <w:t>Respect prefers-reduced-motion; provide static fallback; avoid motion that blocks navigation or creates nausea.</w:t>
      </w:r>
    </w:p>
    <w:p>
      <w:pPr>
        <w:pStyle w:val="ListBullet"/>
        <w:spacing w:after="40"/>
      </w:pPr>
      <w:r>
        <w:t>Do not use WebGL for every page. Critical dashboards remain fast on ordinary laptops and mobile devices.</w:t>
      </w:r>
    </w:p>
    <w:p>
      <w:pPr>
        <w:pStyle w:val="Heading1"/>
      </w:pPr>
      <w:r>
        <w:t>9.3 Information Architecture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Route</w:t>
            </w:r>
          </w:p>
        </w:tc>
        <w:tc>
          <w:tcPr>
            <w:tcW w:type="dxa" w:w="5083"/>
            <w:vAlign w:val="center"/>
            <w:shd w:fill="10233F"/>
          </w:tcPr>
          <w:p>
            <w:pPr>
              <w:spacing w:after="20"/>
            </w:pPr>
            <w:r/>
            <w:r>
              <w:rPr>
                <w:b/>
                <w:color w:val="FFFFFF"/>
                <w:sz w:val="16"/>
              </w:rPr>
              <w:t>Primary content</w:t>
            </w:r>
          </w:p>
        </w:tc>
      </w:tr>
      <w:tr>
        <w:tc>
          <w:tcPr>
            <w:tcW w:type="dxa" w:w="5083"/>
            <w:vAlign w:val="center"/>
          </w:tcPr>
          <w:p>
            <w:pPr>
              <w:spacing w:after="20"/>
            </w:pPr>
            <w:r/>
            <w:r>
              <w:rPr>
                <w:b w:val="0"/>
                <w:color w:val="172033"/>
                <w:sz w:val="15"/>
              </w:rPr>
              <w:t>/</w:t>
            </w:r>
          </w:p>
        </w:tc>
        <w:tc>
          <w:tcPr>
            <w:tcW w:type="dxa" w:w="5083"/>
            <w:vAlign w:val="center"/>
          </w:tcPr>
          <w:p>
            <w:pPr>
              <w:spacing w:after="20"/>
            </w:pPr>
            <w:r/>
            <w:r>
              <w:rPr>
                <w:b w:val="0"/>
                <w:color w:val="172033"/>
                <w:sz w:val="15"/>
              </w:rPr>
              <w:t>Cinematic product story + demo entry</w:t>
            </w:r>
          </w:p>
        </w:tc>
      </w:tr>
      <w:tr>
        <w:tc>
          <w:tcPr>
            <w:tcW w:type="dxa" w:w="5083"/>
            <w:vAlign w:val="center"/>
            <w:shd w:fill="F7F9FC"/>
          </w:tcPr>
          <w:p>
            <w:pPr>
              <w:spacing w:after="20"/>
            </w:pPr>
            <w:r/>
            <w:r>
              <w:rPr>
                <w:b w:val="0"/>
                <w:color w:val="172033"/>
                <w:sz w:val="15"/>
              </w:rPr>
              <w:t>/command-center</w:t>
            </w:r>
          </w:p>
        </w:tc>
        <w:tc>
          <w:tcPr>
            <w:tcW w:type="dxa" w:w="5083"/>
            <w:vAlign w:val="center"/>
            <w:shd w:fill="F7F9FC"/>
          </w:tcPr>
          <w:p>
            <w:pPr>
              <w:spacing w:after="20"/>
            </w:pPr>
            <w:r/>
            <w:r>
              <w:rPr>
                <w:b w:val="0"/>
                <w:color w:val="172033"/>
                <w:sz w:val="15"/>
              </w:rPr>
              <w:t>Portfolio KPIs, alert queue, map, opportunity/risk summary</w:t>
            </w:r>
          </w:p>
        </w:tc>
      </w:tr>
      <w:tr>
        <w:tc>
          <w:tcPr>
            <w:tcW w:type="dxa" w:w="5083"/>
            <w:vAlign w:val="center"/>
          </w:tcPr>
          <w:p>
            <w:pPr>
              <w:spacing w:after="20"/>
            </w:pPr>
            <w:r/>
            <w:r>
              <w:rPr>
                <w:b w:val="0"/>
                <w:color w:val="172033"/>
                <w:sz w:val="15"/>
              </w:rPr>
              <w:t>/merchants</w:t>
            </w:r>
          </w:p>
        </w:tc>
        <w:tc>
          <w:tcPr>
            <w:tcW w:type="dxa" w:w="5083"/>
            <w:vAlign w:val="center"/>
          </w:tcPr>
          <w:p>
            <w:pPr>
              <w:spacing w:after="20"/>
            </w:pPr>
            <w:r/>
            <w:r>
              <w:rPr>
                <w:b w:val="0"/>
                <w:color w:val="172033"/>
                <w:sz w:val="15"/>
              </w:rPr>
              <w:t>Merchant list, filters, risk/opportunity segmentation</w:t>
            </w:r>
          </w:p>
        </w:tc>
      </w:tr>
      <w:tr>
        <w:tc>
          <w:tcPr>
            <w:tcW w:type="dxa" w:w="5083"/>
            <w:vAlign w:val="center"/>
            <w:shd w:fill="F7F9FC"/>
          </w:tcPr>
          <w:p>
            <w:pPr>
              <w:spacing w:after="20"/>
            </w:pPr>
            <w:r/>
            <w:r>
              <w:rPr>
                <w:b w:val="0"/>
                <w:color w:val="172033"/>
                <w:sz w:val="15"/>
              </w:rPr>
              <w:t>/merchants/[id]</w:t>
            </w:r>
          </w:p>
        </w:tc>
        <w:tc>
          <w:tcPr>
            <w:tcW w:type="dxa" w:w="5083"/>
            <w:vAlign w:val="center"/>
            <w:shd w:fill="F7F9FC"/>
          </w:tcPr>
          <w:p>
            <w:pPr>
              <w:spacing w:after="20"/>
            </w:pPr>
            <w:r/>
            <w:r>
              <w:rPr>
                <w:b w:val="0"/>
                <w:color w:val="172033"/>
                <w:sz w:val="15"/>
              </w:rPr>
              <w:t>Forecast, churn, benchmark, recommendations, timeline</w:t>
            </w:r>
          </w:p>
        </w:tc>
      </w:tr>
      <w:tr>
        <w:tc>
          <w:tcPr>
            <w:tcW w:type="dxa" w:w="5083"/>
            <w:vAlign w:val="center"/>
          </w:tcPr>
          <w:p>
            <w:pPr>
              <w:spacing w:after="20"/>
            </w:pPr>
            <w:r/>
            <w:r>
              <w:rPr>
                <w:b w:val="0"/>
                <w:color w:val="172033"/>
                <w:sz w:val="15"/>
              </w:rPr>
              <w:t>/agents</w:t>
            </w:r>
          </w:p>
        </w:tc>
        <w:tc>
          <w:tcPr>
            <w:tcW w:type="dxa" w:w="5083"/>
            <w:vAlign w:val="center"/>
          </w:tcPr>
          <w:p>
            <w:pPr>
              <w:spacing w:after="20"/>
            </w:pPr>
            <w:r/>
            <w:r>
              <w:rPr>
                <w:b w:val="0"/>
                <w:color w:val="172033"/>
                <w:sz w:val="15"/>
              </w:rPr>
              <w:t>Agent list, liquidity pressure and performance</w:t>
            </w:r>
          </w:p>
        </w:tc>
      </w:tr>
      <w:tr>
        <w:tc>
          <w:tcPr>
            <w:tcW w:type="dxa" w:w="5083"/>
            <w:vAlign w:val="center"/>
            <w:shd w:fill="F7F9FC"/>
          </w:tcPr>
          <w:p>
            <w:pPr>
              <w:spacing w:after="20"/>
            </w:pPr>
            <w:r/>
            <w:r>
              <w:rPr>
                <w:b w:val="0"/>
                <w:color w:val="172033"/>
                <w:sz w:val="15"/>
              </w:rPr>
              <w:t>/agents/[id]</w:t>
            </w:r>
          </w:p>
        </w:tc>
        <w:tc>
          <w:tcPr>
            <w:tcW w:type="dxa" w:w="5083"/>
            <w:vAlign w:val="center"/>
            <w:shd w:fill="F7F9FC"/>
          </w:tcPr>
          <w:p>
            <w:pPr>
              <w:spacing w:after="20"/>
            </w:pPr>
            <w:r/>
            <w:r>
              <w:rPr>
                <w:b w:val="0"/>
                <w:color w:val="172033"/>
                <w:sz w:val="15"/>
              </w:rPr>
              <w:t>Liquidity forecast, anomaly, service availability, actions</w:t>
            </w:r>
          </w:p>
        </w:tc>
      </w:tr>
      <w:tr>
        <w:tc>
          <w:tcPr>
            <w:tcW w:type="dxa" w:w="5083"/>
            <w:vAlign w:val="center"/>
          </w:tcPr>
          <w:p>
            <w:pPr>
              <w:spacing w:after="20"/>
            </w:pPr>
            <w:r/>
            <w:r>
              <w:rPr>
                <w:b w:val="0"/>
                <w:color w:val="172033"/>
                <w:sz w:val="15"/>
              </w:rPr>
              <w:t>/locations</w:t>
            </w:r>
          </w:p>
        </w:tc>
        <w:tc>
          <w:tcPr>
            <w:tcW w:type="dxa" w:w="5083"/>
            <w:vAlign w:val="center"/>
          </w:tcPr>
          <w:p>
            <w:pPr>
              <w:spacing w:after="20"/>
            </w:pPr>
            <w:r/>
            <w:r>
              <w:rPr>
                <w:b w:val="0"/>
                <w:color w:val="172033"/>
                <w:sz w:val="15"/>
              </w:rPr>
              <w:t>Interactive geospatial coverage/opportunity intelligence</w:t>
            </w:r>
          </w:p>
        </w:tc>
      </w:tr>
      <w:tr>
        <w:tc>
          <w:tcPr>
            <w:tcW w:type="dxa" w:w="5083"/>
            <w:vAlign w:val="center"/>
            <w:shd w:fill="F7F9FC"/>
          </w:tcPr>
          <w:p>
            <w:pPr>
              <w:spacing w:after="20"/>
            </w:pPr>
            <w:r/>
            <w:r>
              <w:rPr>
                <w:b w:val="0"/>
                <w:color w:val="172033"/>
                <w:sz w:val="15"/>
              </w:rPr>
              <w:t>/interventions</w:t>
            </w:r>
          </w:p>
        </w:tc>
        <w:tc>
          <w:tcPr>
            <w:tcW w:type="dxa" w:w="5083"/>
            <w:vAlign w:val="center"/>
            <w:shd w:fill="F7F9FC"/>
          </w:tcPr>
          <w:p>
            <w:pPr>
              <w:spacing w:after="20"/>
            </w:pPr>
            <w:r/>
            <w:r>
              <w:rPr>
                <w:b w:val="0"/>
                <w:color w:val="172033"/>
                <w:sz w:val="15"/>
              </w:rPr>
              <w:t>Action queue, ownership, SLA and outcomes</w:t>
            </w:r>
          </w:p>
        </w:tc>
      </w:tr>
      <w:tr>
        <w:tc>
          <w:tcPr>
            <w:tcW w:type="dxa" w:w="5083"/>
            <w:vAlign w:val="center"/>
          </w:tcPr>
          <w:p>
            <w:pPr>
              <w:spacing w:after="20"/>
            </w:pPr>
            <w:r/>
            <w:r>
              <w:rPr>
                <w:b w:val="0"/>
                <w:color w:val="172033"/>
                <w:sz w:val="15"/>
              </w:rPr>
              <w:t>/models</w:t>
            </w:r>
          </w:p>
        </w:tc>
        <w:tc>
          <w:tcPr>
            <w:tcW w:type="dxa" w:w="5083"/>
            <w:vAlign w:val="center"/>
          </w:tcPr>
          <w:p>
            <w:pPr>
              <w:spacing w:after="20"/>
            </w:pPr>
            <w:r/>
            <w:r>
              <w:rPr>
                <w:b w:val="0"/>
                <w:color w:val="172033"/>
                <w:sz w:val="15"/>
              </w:rPr>
              <w:t>Model cards, quality, drift, fairness (analyst/admin)</w:t>
            </w:r>
          </w:p>
        </w:tc>
      </w:tr>
      <w:tr>
        <w:tc>
          <w:tcPr>
            <w:tcW w:type="dxa" w:w="5083"/>
            <w:vAlign w:val="center"/>
            <w:shd w:fill="F7F9FC"/>
          </w:tcPr>
          <w:p>
            <w:pPr>
              <w:spacing w:after="20"/>
            </w:pPr>
            <w:r/>
            <w:r>
              <w:rPr>
                <w:b w:val="0"/>
                <w:color w:val="172033"/>
                <w:sz w:val="15"/>
              </w:rPr>
              <w:t>/admin</w:t>
            </w:r>
          </w:p>
        </w:tc>
        <w:tc>
          <w:tcPr>
            <w:tcW w:type="dxa" w:w="5083"/>
            <w:vAlign w:val="center"/>
            <w:shd w:fill="F7F9FC"/>
          </w:tcPr>
          <w:p>
            <w:pPr>
              <w:spacing w:after="20"/>
            </w:pPr>
            <w:r/>
            <w:r>
              <w:rPr>
                <w:b w:val="0"/>
                <w:color w:val="172033"/>
                <w:sz w:val="15"/>
              </w:rPr>
              <w:t>Users, roles, thresholds, feature flags, audit log</w:t>
            </w:r>
          </w:p>
        </w:tc>
      </w:tr>
    </w:tbl>
    <w:p>
      <w:pPr>
        <w:spacing w:after="20"/>
      </w:pPr>
    </w:p>
    <w:p>
      <w:pPr>
        <w:pStyle w:val="Heading1"/>
      </w:pPr>
      <w:r>
        <w:t>9.4 Responsive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Viewport</w:t>
            </w:r>
          </w:p>
        </w:tc>
        <w:tc>
          <w:tcPr>
            <w:tcW w:type="dxa" w:w="5083"/>
            <w:vAlign w:val="center"/>
            <w:shd w:fill="10233F"/>
          </w:tcPr>
          <w:p>
            <w:pPr>
              <w:spacing w:after="20"/>
            </w:pPr>
            <w:r/>
            <w:r>
              <w:rPr>
                <w:b/>
                <w:color w:val="FFFFFF"/>
                <w:sz w:val="16"/>
              </w:rPr>
              <w:t>Requirement</w:t>
            </w:r>
          </w:p>
        </w:tc>
      </w:tr>
      <w:tr>
        <w:tc>
          <w:tcPr>
            <w:tcW w:type="dxa" w:w="5083"/>
            <w:vAlign w:val="center"/>
          </w:tcPr>
          <w:p>
            <w:pPr>
              <w:spacing w:after="20"/>
            </w:pPr>
            <w:r/>
            <w:r>
              <w:rPr>
                <w:b w:val="0"/>
                <w:color w:val="172033"/>
                <w:sz w:val="15"/>
              </w:rPr>
              <w:t>Mobile &lt; 768px</w:t>
            </w:r>
          </w:p>
        </w:tc>
        <w:tc>
          <w:tcPr>
            <w:tcW w:type="dxa" w:w="5083"/>
            <w:vAlign w:val="center"/>
          </w:tcPr>
          <w:p>
            <w:pPr>
              <w:spacing w:after="20"/>
            </w:pPr>
            <w:r/>
            <w:r>
              <w:rPr>
                <w:b w:val="0"/>
                <w:color w:val="172033"/>
                <w:sz w:val="15"/>
              </w:rPr>
              <w:t>Single-column cards; bottom-sheet filters; simplified map; no heavy 3D by default.</w:t>
            </w:r>
          </w:p>
        </w:tc>
      </w:tr>
      <w:tr>
        <w:tc>
          <w:tcPr>
            <w:tcW w:type="dxa" w:w="5083"/>
            <w:vAlign w:val="center"/>
            <w:shd w:fill="F7F9FC"/>
          </w:tcPr>
          <w:p>
            <w:pPr>
              <w:spacing w:after="20"/>
            </w:pPr>
            <w:r/>
            <w:r>
              <w:rPr>
                <w:b w:val="0"/>
                <w:color w:val="172033"/>
                <w:sz w:val="15"/>
              </w:rPr>
              <w:t>Tablet 768–1199px</w:t>
            </w:r>
          </w:p>
        </w:tc>
        <w:tc>
          <w:tcPr>
            <w:tcW w:type="dxa" w:w="5083"/>
            <w:vAlign w:val="center"/>
            <w:shd w:fill="F7F9FC"/>
          </w:tcPr>
          <w:p>
            <w:pPr>
              <w:spacing w:after="20"/>
            </w:pPr>
            <w:r/>
            <w:r>
              <w:rPr>
                <w:b w:val="0"/>
                <w:color w:val="172033"/>
                <w:sz w:val="15"/>
              </w:rPr>
              <w:t>Two-column layouts; collapsible nav; touch-friendly charts.</w:t>
            </w:r>
          </w:p>
        </w:tc>
      </w:tr>
      <w:tr>
        <w:tc>
          <w:tcPr>
            <w:tcW w:type="dxa" w:w="5083"/>
            <w:vAlign w:val="center"/>
          </w:tcPr>
          <w:p>
            <w:pPr>
              <w:spacing w:after="20"/>
            </w:pPr>
            <w:r/>
            <w:r>
              <w:rPr>
                <w:b w:val="0"/>
                <w:color w:val="172033"/>
                <w:sz w:val="15"/>
              </w:rPr>
              <w:t>Desktop ≥ 1200px</w:t>
            </w:r>
          </w:p>
        </w:tc>
        <w:tc>
          <w:tcPr>
            <w:tcW w:type="dxa" w:w="5083"/>
            <w:vAlign w:val="center"/>
          </w:tcPr>
          <w:p>
            <w:pPr>
              <w:spacing w:after="20"/>
            </w:pPr>
            <w:r/>
            <w:r>
              <w:rPr>
                <w:b w:val="0"/>
                <w:color w:val="172033"/>
                <w:sz w:val="15"/>
              </w:rPr>
              <w:t>Full command-center layout; persistent side navigation; multi-panel investigation.</w:t>
            </w:r>
          </w:p>
        </w:tc>
      </w:tr>
      <w:tr>
        <w:tc>
          <w:tcPr>
            <w:tcW w:type="dxa" w:w="5083"/>
            <w:vAlign w:val="center"/>
            <w:shd w:fill="F7F9FC"/>
          </w:tcPr>
          <w:p>
            <w:pPr>
              <w:spacing w:after="20"/>
            </w:pPr>
            <w:r/>
            <w:r>
              <w:rPr>
                <w:b w:val="0"/>
                <w:color w:val="172033"/>
                <w:sz w:val="15"/>
              </w:rPr>
              <w:t>Large ≥ 1600px</w:t>
            </w:r>
          </w:p>
        </w:tc>
        <w:tc>
          <w:tcPr>
            <w:tcW w:type="dxa" w:w="5083"/>
            <w:vAlign w:val="center"/>
            <w:shd w:fill="F7F9FC"/>
          </w:tcPr>
          <w:p>
            <w:pPr>
              <w:spacing w:after="20"/>
            </w:pPr>
            <w:r/>
            <w:r>
              <w:rPr>
                <w:b w:val="0"/>
                <w:color w:val="172033"/>
                <w:sz w:val="15"/>
              </w:rPr>
              <w:t>Max-width grid; no excessive line length; additional contextual panel allowed.</w:t>
            </w:r>
          </w:p>
        </w:tc>
      </w:tr>
    </w:tbl>
    <w:p>
      <w:pPr>
        <w:spacing w:after="20"/>
      </w:pPr>
    </w:p>
    <w:p>
      <w:pPr>
        <w:pStyle w:val="Heading1"/>
      </w:pPr>
      <w:r>
        <w:t>9.5 Accessibility</w:t>
      </w:r>
    </w:p>
    <w:p>
      <w:pPr>
        <w:pStyle w:val="ListBullet"/>
        <w:spacing w:after="40"/>
      </w:pPr>
      <w:r>
        <w:t>Target WCAG 2.2 AA principles.</w:t>
      </w:r>
    </w:p>
    <w:p>
      <w:pPr>
        <w:pStyle w:val="ListBullet"/>
        <w:spacing w:after="40"/>
      </w:pPr>
      <w:r>
        <w:t>Keyboard-operable navigation and chart alternatives.</w:t>
      </w:r>
    </w:p>
    <w:p>
      <w:pPr>
        <w:pStyle w:val="ListBullet"/>
        <w:spacing w:after="40"/>
      </w:pPr>
      <w:r>
        <w:t>Minimum readable contrast; color never the sole status signal.</w:t>
      </w:r>
    </w:p>
    <w:p>
      <w:pPr>
        <w:pStyle w:val="ListBullet"/>
        <w:spacing w:after="40"/>
      </w:pPr>
      <w:r>
        <w:t>ARIA labels for controls and meaningful SVGs.</w:t>
      </w:r>
    </w:p>
    <w:p>
      <w:pPr>
        <w:pStyle w:val="ListBullet"/>
        <w:spacing w:after="40"/>
      </w:pPr>
      <w:r>
        <w:t>Reduced-motion support and visible focus states.</w:t>
      </w:r>
    </w:p>
    <w:p>
      <w:pPr>
        <w:pStyle w:val="ListBullet"/>
        <w:spacing w:after="40"/>
      </w:pPr>
      <w:r>
        <w:t>Tables/charts provide textual summaries for key insights.</w:t>
      </w:r>
    </w:p>
    <w:p>
      <w:pPr>
        <w:pStyle w:val="Title"/>
      </w:pPr>
      <w:r>
        <w:t>10. Authentication &amp; Authorization</w:t>
      </w:r>
    </w:p>
    <w:p>
      <w:r>
        <w:t>Prototype authentication SHALL demonstrate production-safe patterns even when demo accounts are synthetic.</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Control</w:t>
            </w:r>
          </w:p>
        </w:tc>
        <w:tc>
          <w:tcPr>
            <w:tcW w:type="dxa" w:w="5083"/>
            <w:vAlign w:val="center"/>
            <w:shd w:fill="10233F"/>
          </w:tcPr>
          <w:p>
            <w:pPr>
              <w:spacing w:after="20"/>
            </w:pPr>
            <w:r/>
            <w:r>
              <w:rPr>
                <w:b/>
                <w:color w:val="FFFFFF"/>
                <w:sz w:val="16"/>
              </w:rPr>
              <w:t>Requirement</w:t>
            </w:r>
          </w:p>
        </w:tc>
      </w:tr>
      <w:tr>
        <w:tc>
          <w:tcPr>
            <w:tcW w:type="dxa" w:w="5083"/>
            <w:vAlign w:val="center"/>
          </w:tcPr>
          <w:p>
            <w:pPr>
              <w:spacing w:after="20"/>
            </w:pPr>
            <w:r/>
            <w:r>
              <w:rPr>
                <w:b w:val="0"/>
                <w:color w:val="172033"/>
                <w:sz w:val="15"/>
              </w:rPr>
              <w:t>Authentication</w:t>
            </w:r>
          </w:p>
        </w:tc>
        <w:tc>
          <w:tcPr>
            <w:tcW w:type="dxa" w:w="5083"/>
            <w:vAlign w:val="center"/>
          </w:tcPr>
          <w:p>
            <w:pPr>
              <w:spacing w:after="20"/>
            </w:pPr>
            <w:r/>
            <w:r>
              <w:rPr>
                <w:b w:val="0"/>
                <w:color w:val="172033"/>
                <w:sz w:val="15"/>
              </w:rPr>
              <w:t>Email/username + password for demo; production design supports OIDC/OAuth2 SSO and MFA.</w:t>
            </w:r>
          </w:p>
        </w:tc>
      </w:tr>
      <w:tr>
        <w:tc>
          <w:tcPr>
            <w:tcW w:type="dxa" w:w="5083"/>
            <w:vAlign w:val="center"/>
            <w:shd w:fill="F7F9FC"/>
          </w:tcPr>
          <w:p>
            <w:pPr>
              <w:spacing w:after="20"/>
            </w:pPr>
            <w:r/>
            <w:r>
              <w:rPr>
                <w:b w:val="0"/>
                <w:color w:val="172033"/>
                <w:sz w:val="15"/>
              </w:rPr>
              <w:t>Password storage</w:t>
            </w:r>
          </w:p>
        </w:tc>
        <w:tc>
          <w:tcPr>
            <w:tcW w:type="dxa" w:w="5083"/>
            <w:vAlign w:val="center"/>
            <w:shd w:fill="F7F9FC"/>
          </w:tcPr>
          <w:p>
            <w:pPr>
              <w:spacing w:after="20"/>
            </w:pPr>
            <w:r/>
            <w:r>
              <w:rPr>
                <w:b w:val="0"/>
                <w:color w:val="172033"/>
                <w:sz w:val="15"/>
              </w:rPr>
              <w:t>Argon2id or bcrypt; never plaintext or reversible encryption.</w:t>
            </w:r>
          </w:p>
        </w:tc>
      </w:tr>
      <w:tr>
        <w:tc>
          <w:tcPr>
            <w:tcW w:type="dxa" w:w="5083"/>
            <w:vAlign w:val="center"/>
          </w:tcPr>
          <w:p>
            <w:pPr>
              <w:spacing w:after="20"/>
            </w:pPr>
            <w:r/>
            <w:r>
              <w:rPr>
                <w:b w:val="0"/>
                <w:color w:val="172033"/>
                <w:sz w:val="15"/>
              </w:rPr>
              <w:t>Session</w:t>
            </w:r>
          </w:p>
        </w:tc>
        <w:tc>
          <w:tcPr>
            <w:tcW w:type="dxa" w:w="5083"/>
            <w:vAlign w:val="center"/>
          </w:tcPr>
          <w:p>
            <w:pPr>
              <w:spacing w:after="20"/>
            </w:pPr>
            <w:r/>
            <w:r>
              <w:rPr>
                <w:b w:val="0"/>
                <w:color w:val="172033"/>
                <w:sz w:val="15"/>
              </w:rPr>
              <w:t>Prefer HttpOnly, Secure, SameSite cookies for browser sessions; short-lived access token + rotation where JWT is used.</w:t>
            </w:r>
          </w:p>
        </w:tc>
      </w:tr>
      <w:tr>
        <w:tc>
          <w:tcPr>
            <w:tcW w:type="dxa" w:w="5083"/>
            <w:vAlign w:val="center"/>
            <w:shd w:fill="F7F9FC"/>
          </w:tcPr>
          <w:p>
            <w:pPr>
              <w:spacing w:after="20"/>
            </w:pPr>
            <w:r/>
            <w:r>
              <w:rPr>
                <w:b w:val="0"/>
                <w:color w:val="172033"/>
                <w:sz w:val="15"/>
              </w:rPr>
              <w:t>RBAC</w:t>
            </w:r>
          </w:p>
        </w:tc>
        <w:tc>
          <w:tcPr>
            <w:tcW w:type="dxa" w:w="5083"/>
            <w:vAlign w:val="center"/>
            <w:shd w:fill="F7F9FC"/>
          </w:tcPr>
          <w:p>
            <w:pPr>
              <w:spacing w:after="20"/>
            </w:pPr>
            <w:r/>
            <w:r>
              <w:rPr>
                <w:b w:val="0"/>
                <w:color w:val="172033"/>
                <w:sz w:val="15"/>
              </w:rPr>
              <w:t>Roles: Merchant, Agent, Analyst, Regional Manager, Admin, Read-only Judge/Demo.</w:t>
            </w:r>
          </w:p>
        </w:tc>
      </w:tr>
      <w:tr>
        <w:tc>
          <w:tcPr>
            <w:tcW w:type="dxa" w:w="5083"/>
            <w:vAlign w:val="center"/>
          </w:tcPr>
          <w:p>
            <w:pPr>
              <w:spacing w:after="20"/>
            </w:pPr>
            <w:r/>
            <w:r>
              <w:rPr>
                <w:b w:val="0"/>
                <w:color w:val="172033"/>
                <w:sz w:val="15"/>
              </w:rPr>
              <w:t>Scope</w:t>
            </w:r>
          </w:p>
        </w:tc>
        <w:tc>
          <w:tcPr>
            <w:tcW w:type="dxa" w:w="5083"/>
            <w:vAlign w:val="center"/>
          </w:tcPr>
          <w:p>
            <w:pPr>
              <w:spacing w:after="20"/>
            </w:pPr>
            <w:r/>
            <w:r>
              <w:rPr>
                <w:b w:val="0"/>
                <w:color w:val="172033"/>
                <w:sz w:val="15"/>
              </w:rPr>
              <w:t>Entity/region ownership enforced server-side; UI hiding is not authorization.</w:t>
            </w:r>
          </w:p>
        </w:tc>
      </w:tr>
      <w:tr>
        <w:tc>
          <w:tcPr>
            <w:tcW w:type="dxa" w:w="5083"/>
            <w:vAlign w:val="center"/>
            <w:shd w:fill="F7F9FC"/>
          </w:tcPr>
          <w:p>
            <w:pPr>
              <w:spacing w:after="20"/>
            </w:pPr>
            <w:r/>
            <w:r>
              <w:rPr>
                <w:b w:val="0"/>
                <w:color w:val="172033"/>
                <w:sz w:val="15"/>
              </w:rPr>
              <w:t>Privileged actions</w:t>
            </w:r>
          </w:p>
        </w:tc>
        <w:tc>
          <w:tcPr>
            <w:tcW w:type="dxa" w:w="5083"/>
            <w:vAlign w:val="center"/>
            <w:shd w:fill="F7F9FC"/>
          </w:tcPr>
          <w:p>
            <w:pPr>
              <w:spacing w:after="20"/>
            </w:pPr>
            <w:r/>
            <w:r>
              <w:rPr>
                <w:b w:val="0"/>
                <w:color w:val="172033"/>
                <w:sz w:val="15"/>
              </w:rPr>
              <w:t>Model activation, role changes, exports and threshold changes require elevated role and audit trail.</w:t>
            </w:r>
          </w:p>
        </w:tc>
      </w:tr>
      <w:tr>
        <w:tc>
          <w:tcPr>
            <w:tcW w:type="dxa" w:w="5083"/>
            <w:vAlign w:val="center"/>
          </w:tcPr>
          <w:p>
            <w:pPr>
              <w:spacing w:after="20"/>
            </w:pPr>
            <w:r/>
            <w:r>
              <w:rPr>
                <w:b w:val="0"/>
                <w:color w:val="172033"/>
                <w:sz w:val="15"/>
              </w:rPr>
              <w:t>Lockout/rate limit</w:t>
            </w:r>
          </w:p>
        </w:tc>
        <w:tc>
          <w:tcPr>
            <w:tcW w:type="dxa" w:w="5083"/>
            <w:vAlign w:val="center"/>
          </w:tcPr>
          <w:p>
            <w:pPr>
              <w:spacing w:after="20"/>
            </w:pPr>
            <w:r/>
            <w:r>
              <w:rPr>
                <w:b w:val="0"/>
                <w:color w:val="172033"/>
                <w:sz w:val="15"/>
              </w:rPr>
              <w:t>Progressive throttling and safe error messages; no username enumeration.</w:t>
            </w:r>
          </w:p>
        </w:tc>
      </w:tr>
      <w:tr>
        <w:tc>
          <w:tcPr>
            <w:tcW w:type="dxa" w:w="5083"/>
            <w:vAlign w:val="center"/>
            <w:shd w:fill="F7F9FC"/>
          </w:tcPr>
          <w:p>
            <w:pPr>
              <w:spacing w:after="20"/>
            </w:pPr>
            <w:r/>
            <w:r>
              <w:rPr>
                <w:b w:val="0"/>
                <w:color w:val="172033"/>
                <w:sz w:val="15"/>
              </w:rPr>
              <w:t>Audit</w:t>
            </w:r>
          </w:p>
        </w:tc>
        <w:tc>
          <w:tcPr>
            <w:tcW w:type="dxa" w:w="5083"/>
            <w:vAlign w:val="center"/>
            <w:shd w:fill="F7F9FC"/>
          </w:tcPr>
          <w:p>
            <w:pPr>
              <w:spacing w:after="20"/>
            </w:pPr>
            <w:r/>
            <w:r>
              <w:rPr>
                <w:b w:val="0"/>
                <w:color w:val="172033"/>
                <w:sz w:val="15"/>
              </w:rPr>
              <w:t>Login, failed auth, permission denial and privileged configuration changes recorded.</w:t>
            </w:r>
          </w:p>
        </w:tc>
      </w:tr>
    </w:tbl>
    <w:p>
      <w:pPr>
        <w:spacing w:after="20"/>
      </w:pPr>
    </w:p>
    <w:p>
      <w:pPr>
        <w:pStyle w:val="Title"/>
      </w:pPr>
      <w:r>
        <w:t>11. Security, AI Security &amp; Threat Model</w:t>
      </w:r>
    </w:p>
    <w:p>
      <w:pPr>
        <w:pStyle w:val="Heading1"/>
      </w:pPr>
      <w:r>
        <w:t>11.1 Security Objectives</w:t>
      </w:r>
    </w:p>
    <w:p>
      <w:pPr>
        <w:pStyle w:val="ListBullet"/>
        <w:spacing w:after="40"/>
      </w:pPr>
      <w:r>
        <w:t>Confidentiality of user/session and future governed data.</w:t>
      </w:r>
    </w:p>
    <w:p>
      <w:pPr>
        <w:pStyle w:val="ListBullet"/>
        <w:spacing w:after="40"/>
      </w:pPr>
      <w:r>
        <w:t>Integrity of predictions, model artifacts, thresholds and interventions.</w:t>
      </w:r>
    </w:p>
    <w:p>
      <w:pPr>
        <w:pStyle w:val="ListBullet"/>
        <w:spacing w:after="40"/>
      </w:pPr>
      <w:r>
        <w:t>Availability of core forecast/action APIs during demo and future operation.</w:t>
      </w:r>
    </w:p>
    <w:p>
      <w:pPr>
        <w:pStyle w:val="ListBullet"/>
        <w:spacing w:after="40"/>
      </w:pPr>
      <w:r>
        <w:t>Traceability of every material prediction and privileged action.</w:t>
      </w:r>
    </w:p>
    <w:p>
      <w:pPr>
        <w:pStyle w:val="ListBullet"/>
        <w:spacing w:after="40"/>
      </w:pPr>
      <w:r>
        <w:t>Least privilege across users, services and model tools.</w:t>
      </w:r>
    </w:p>
    <w:p>
      <w:pPr>
        <w:pStyle w:val="Heading1"/>
      </w:pPr>
      <w:r>
        <w:t>11.2 STRIDE Threat Summary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0233F"/>
          </w:tcPr>
          <w:p>
            <w:pPr>
              <w:spacing w:after="20"/>
            </w:pPr>
            <w:r/>
            <w:r>
              <w:rPr>
                <w:b/>
                <w:color w:val="FFFFFF"/>
                <w:sz w:val="16"/>
              </w:rPr>
              <w:t>Threat</w:t>
            </w:r>
          </w:p>
        </w:tc>
        <w:tc>
          <w:tcPr>
            <w:tcW w:type="dxa" w:w="3389"/>
            <w:vAlign w:val="center"/>
            <w:shd w:fill="10233F"/>
          </w:tcPr>
          <w:p>
            <w:pPr>
              <w:spacing w:after="20"/>
            </w:pPr>
            <w:r/>
            <w:r>
              <w:rPr>
                <w:b/>
                <w:color w:val="FFFFFF"/>
                <w:sz w:val="16"/>
              </w:rPr>
              <w:t>Example</w:t>
            </w:r>
          </w:p>
        </w:tc>
        <w:tc>
          <w:tcPr>
            <w:tcW w:type="dxa" w:w="3389"/>
            <w:vAlign w:val="center"/>
            <w:shd w:fill="10233F"/>
          </w:tcPr>
          <w:p>
            <w:pPr>
              <w:spacing w:after="20"/>
            </w:pPr>
            <w:r/>
            <w:r>
              <w:rPr>
                <w:b/>
                <w:color w:val="FFFFFF"/>
                <w:sz w:val="16"/>
              </w:rPr>
              <w:t>Required controls</w:t>
            </w:r>
          </w:p>
        </w:tc>
      </w:tr>
      <w:tr>
        <w:tc>
          <w:tcPr>
            <w:tcW w:type="dxa" w:w="3389"/>
            <w:vAlign w:val="center"/>
          </w:tcPr>
          <w:p>
            <w:pPr>
              <w:spacing w:after="20"/>
            </w:pPr>
            <w:r/>
            <w:r>
              <w:rPr>
                <w:b w:val="0"/>
                <w:color w:val="172033"/>
                <w:sz w:val="15"/>
              </w:rPr>
              <w:t>Spoofing</w:t>
            </w:r>
          </w:p>
        </w:tc>
        <w:tc>
          <w:tcPr>
            <w:tcW w:type="dxa" w:w="3389"/>
            <w:vAlign w:val="center"/>
          </w:tcPr>
          <w:p>
            <w:pPr>
              <w:spacing w:after="20"/>
            </w:pPr>
            <w:r/>
            <w:r>
              <w:rPr>
                <w:b w:val="0"/>
                <w:color w:val="172033"/>
                <w:sz w:val="15"/>
              </w:rPr>
              <w:t>Stolen account/session</w:t>
            </w:r>
          </w:p>
        </w:tc>
        <w:tc>
          <w:tcPr>
            <w:tcW w:type="dxa" w:w="3389"/>
            <w:vAlign w:val="center"/>
          </w:tcPr>
          <w:p>
            <w:pPr>
              <w:spacing w:after="20"/>
            </w:pPr>
            <w:r/>
            <w:r>
              <w:rPr>
                <w:b w:val="0"/>
                <w:color w:val="172033"/>
                <w:sz w:val="15"/>
              </w:rPr>
              <w:t>MFA-ready auth, secure cookies/tokens, rotation, throttling.</w:t>
            </w:r>
          </w:p>
        </w:tc>
      </w:tr>
      <w:tr>
        <w:tc>
          <w:tcPr>
            <w:tcW w:type="dxa" w:w="3389"/>
            <w:vAlign w:val="center"/>
            <w:shd w:fill="F7F9FC"/>
          </w:tcPr>
          <w:p>
            <w:pPr>
              <w:spacing w:after="20"/>
            </w:pPr>
            <w:r/>
            <w:r>
              <w:rPr>
                <w:b w:val="0"/>
                <w:color w:val="172033"/>
                <w:sz w:val="15"/>
              </w:rPr>
              <w:t>Tampering</w:t>
            </w:r>
          </w:p>
        </w:tc>
        <w:tc>
          <w:tcPr>
            <w:tcW w:type="dxa" w:w="3389"/>
            <w:vAlign w:val="center"/>
            <w:shd w:fill="F7F9FC"/>
          </w:tcPr>
          <w:p>
            <w:pPr>
              <w:spacing w:after="20"/>
            </w:pPr>
            <w:r/>
            <w:r>
              <w:rPr>
                <w:b w:val="0"/>
                <w:color w:val="172033"/>
                <w:sz w:val="15"/>
              </w:rPr>
              <w:t>Prediction or model artifact changed</w:t>
            </w:r>
          </w:p>
        </w:tc>
        <w:tc>
          <w:tcPr>
            <w:tcW w:type="dxa" w:w="3389"/>
            <w:vAlign w:val="center"/>
            <w:shd w:fill="F7F9FC"/>
          </w:tcPr>
          <w:p>
            <w:pPr>
              <w:spacing w:after="20"/>
            </w:pPr>
            <w:r/>
            <w:r>
              <w:rPr>
                <w:b w:val="0"/>
                <w:color w:val="172033"/>
                <w:sz w:val="15"/>
              </w:rPr>
              <w:t>Signed/versioned artifacts, DB permissions, checksums, immutable audit trail.</w:t>
            </w:r>
          </w:p>
        </w:tc>
      </w:tr>
      <w:tr>
        <w:tc>
          <w:tcPr>
            <w:tcW w:type="dxa" w:w="3389"/>
            <w:vAlign w:val="center"/>
          </w:tcPr>
          <w:p>
            <w:pPr>
              <w:spacing w:after="20"/>
            </w:pPr>
            <w:r/>
            <w:r>
              <w:rPr>
                <w:b w:val="0"/>
                <w:color w:val="172033"/>
                <w:sz w:val="15"/>
              </w:rPr>
              <w:t>Repudiation</w:t>
            </w:r>
          </w:p>
        </w:tc>
        <w:tc>
          <w:tcPr>
            <w:tcW w:type="dxa" w:w="3389"/>
            <w:vAlign w:val="center"/>
          </w:tcPr>
          <w:p>
            <w:pPr>
              <w:spacing w:after="20"/>
            </w:pPr>
            <w:r/>
            <w:r>
              <w:rPr>
                <w:b w:val="0"/>
                <w:color w:val="172033"/>
                <w:sz w:val="15"/>
              </w:rPr>
              <w:t>User denies threshold/model change</w:t>
            </w:r>
          </w:p>
        </w:tc>
        <w:tc>
          <w:tcPr>
            <w:tcW w:type="dxa" w:w="3389"/>
            <w:vAlign w:val="center"/>
          </w:tcPr>
          <w:p>
            <w:pPr>
              <w:spacing w:after="20"/>
            </w:pPr>
            <w:r/>
            <w:r>
              <w:rPr>
                <w:b w:val="0"/>
                <w:color w:val="172033"/>
                <w:sz w:val="15"/>
              </w:rPr>
              <w:t>Actor/time/correlation audit events.</w:t>
            </w:r>
          </w:p>
        </w:tc>
      </w:tr>
      <w:tr>
        <w:tc>
          <w:tcPr>
            <w:tcW w:type="dxa" w:w="3389"/>
            <w:vAlign w:val="center"/>
            <w:shd w:fill="F7F9FC"/>
          </w:tcPr>
          <w:p>
            <w:pPr>
              <w:spacing w:after="20"/>
            </w:pPr>
            <w:r/>
            <w:r>
              <w:rPr>
                <w:b w:val="0"/>
                <w:color w:val="172033"/>
                <w:sz w:val="15"/>
              </w:rPr>
              <w:t>Information disclosure</w:t>
            </w:r>
          </w:p>
        </w:tc>
        <w:tc>
          <w:tcPr>
            <w:tcW w:type="dxa" w:w="3389"/>
            <w:vAlign w:val="center"/>
            <w:shd w:fill="F7F9FC"/>
          </w:tcPr>
          <w:p>
            <w:pPr>
              <w:spacing w:after="20"/>
            </w:pPr>
            <w:r/>
            <w:r>
              <w:rPr>
                <w:b w:val="0"/>
                <w:color w:val="172033"/>
                <w:sz w:val="15"/>
              </w:rPr>
              <w:t>Cross-region merchant data leakage</w:t>
            </w:r>
          </w:p>
        </w:tc>
        <w:tc>
          <w:tcPr>
            <w:tcW w:type="dxa" w:w="3389"/>
            <w:vAlign w:val="center"/>
            <w:shd w:fill="F7F9FC"/>
          </w:tcPr>
          <w:p>
            <w:pPr>
              <w:spacing w:after="20"/>
            </w:pPr>
            <w:r/>
            <w:r>
              <w:rPr>
                <w:b w:val="0"/>
                <w:color w:val="172033"/>
                <w:sz w:val="15"/>
              </w:rPr>
              <w:t>Server-side object authorization, minimization, encrypted transport/storage.</w:t>
            </w:r>
          </w:p>
        </w:tc>
      </w:tr>
      <w:tr>
        <w:tc>
          <w:tcPr>
            <w:tcW w:type="dxa" w:w="3389"/>
            <w:vAlign w:val="center"/>
          </w:tcPr>
          <w:p>
            <w:pPr>
              <w:spacing w:after="20"/>
            </w:pPr>
            <w:r/>
            <w:r>
              <w:rPr>
                <w:b w:val="0"/>
                <w:color w:val="172033"/>
                <w:sz w:val="15"/>
              </w:rPr>
              <w:t>Denial of service</w:t>
            </w:r>
          </w:p>
        </w:tc>
        <w:tc>
          <w:tcPr>
            <w:tcW w:type="dxa" w:w="3389"/>
            <w:vAlign w:val="center"/>
          </w:tcPr>
          <w:p>
            <w:pPr>
              <w:spacing w:after="20"/>
            </w:pPr>
            <w:r/>
            <w:r>
              <w:rPr>
                <w:b w:val="0"/>
                <w:color w:val="172033"/>
                <w:sz w:val="15"/>
              </w:rPr>
              <w:t>Expensive forecast/map queries abused</w:t>
            </w:r>
          </w:p>
        </w:tc>
        <w:tc>
          <w:tcPr>
            <w:tcW w:type="dxa" w:w="3389"/>
            <w:vAlign w:val="center"/>
          </w:tcPr>
          <w:p>
            <w:pPr>
              <w:spacing w:after="20"/>
            </w:pPr>
            <w:r/>
            <w:r>
              <w:rPr>
                <w:b w:val="0"/>
                <w:color w:val="172033"/>
                <w:sz w:val="15"/>
              </w:rPr>
              <w:t>Rate limits, cache, async jobs, query bounds, circuit breakers.</w:t>
            </w:r>
          </w:p>
        </w:tc>
      </w:tr>
      <w:tr>
        <w:tc>
          <w:tcPr>
            <w:tcW w:type="dxa" w:w="3389"/>
            <w:vAlign w:val="center"/>
            <w:shd w:fill="F7F9FC"/>
          </w:tcPr>
          <w:p>
            <w:pPr>
              <w:spacing w:after="20"/>
            </w:pPr>
            <w:r/>
            <w:r>
              <w:rPr>
                <w:b w:val="0"/>
                <w:color w:val="172033"/>
                <w:sz w:val="15"/>
              </w:rPr>
              <w:t>Elevation of privilege</w:t>
            </w:r>
          </w:p>
        </w:tc>
        <w:tc>
          <w:tcPr>
            <w:tcW w:type="dxa" w:w="3389"/>
            <w:vAlign w:val="center"/>
            <w:shd w:fill="F7F9FC"/>
          </w:tcPr>
          <w:p>
            <w:pPr>
              <w:spacing w:after="20"/>
            </w:pPr>
            <w:r/>
            <w:r>
              <w:rPr>
                <w:b w:val="0"/>
                <w:color w:val="172033"/>
                <w:sz w:val="15"/>
              </w:rPr>
              <w:t>Merchant accesses admin/model controls</w:t>
            </w:r>
          </w:p>
        </w:tc>
        <w:tc>
          <w:tcPr>
            <w:tcW w:type="dxa" w:w="3389"/>
            <w:vAlign w:val="center"/>
            <w:shd w:fill="F7F9FC"/>
          </w:tcPr>
          <w:p>
            <w:pPr>
              <w:spacing w:after="20"/>
            </w:pPr>
            <w:r/>
            <w:r>
              <w:rPr>
                <w:b w:val="0"/>
                <w:color w:val="172033"/>
                <w:sz w:val="15"/>
              </w:rPr>
              <w:t>Deny-by-default RBAC/ABAC and authorization tests.</w:t>
            </w:r>
          </w:p>
        </w:tc>
      </w:tr>
    </w:tbl>
    <w:p>
      <w:pPr>
        <w:spacing w:after="20"/>
      </w:pPr>
    </w:p>
    <w:p>
      <w:pPr>
        <w:pStyle w:val="Heading1"/>
      </w:pPr>
      <w:r>
        <w:t>11.3 AI/ML Adversarial Security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0233F"/>
          </w:tcPr>
          <w:p>
            <w:pPr>
              <w:spacing w:after="20"/>
            </w:pPr>
            <w:r/>
            <w:r>
              <w:rPr>
                <w:b/>
                <w:color w:val="FFFFFF"/>
                <w:sz w:val="16"/>
              </w:rPr>
              <w:t>Risk</w:t>
            </w:r>
          </w:p>
        </w:tc>
        <w:tc>
          <w:tcPr>
            <w:tcW w:type="dxa" w:w="3389"/>
            <w:vAlign w:val="center"/>
            <w:shd w:fill="10233F"/>
          </w:tcPr>
          <w:p>
            <w:pPr>
              <w:spacing w:after="20"/>
            </w:pPr>
            <w:r/>
            <w:r>
              <w:rPr>
                <w:b/>
                <w:color w:val="FFFFFF"/>
                <w:sz w:val="16"/>
              </w:rPr>
              <w:t>Attack path</w:t>
            </w:r>
          </w:p>
        </w:tc>
        <w:tc>
          <w:tcPr>
            <w:tcW w:type="dxa" w:w="3389"/>
            <w:vAlign w:val="center"/>
            <w:shd w:fill="10233F"/>
          </w:tcPr>
          <w:p>
            <w:pPr>
              <w:spacing w:after="20"/>
            </w:pPr>
            <w:r/>
            <w:r>
              <w:rPr>
                <w:b/>
                <w:color w:val="FFFFFF"/>
                <w:sz w:val="16"/>
              </w:rPr>
              <w:t>Mitigation / acceptance requirement</w:t>
            </w:r>
          </w:p>
        </w:tc>
      </w:tr>
      <w:tr>
        <w:tc>
          <w:tcPr>
            <w:tcW w:type="dxa" w:w="3389"/>
            <w:vAlign w:val="center"/>
          </w:tcPr>
          <w:p>
            <w:pPr>
              <w:spacing w:after="20"/>
            </w:pPr>
            <w:r/>
            <w:r>
              <w:rPr>
                <w:b w:val="0"/>
                <w:color w:val="172033"/>
                <w:sz w:val="15"/>
              </w:rPr>
              <w:t>Prompt injection</w:t>
            </w:r>
          </w:p>
        </w:tc>
        <w:tc>
          <w:tcPr>
            <w:tcW w:type="dxa" w:w="3389"/>
            <w:vAlign w:val="center"/>
          </w:tcPr>
          <w:p>
            <w:pPr>
              <w:spacing w:after="20"/>
            </w:pPr>
            <w:r/>
            <w:r>
              <w:rPr>
                <w:b w:val="0"/>
                <w:color w:val="172033"/>
                <w:sz w:val="15"/>
              </w:rPr>
              <w:t>Malicious text enters explanation/assistant context</w:t>
            </w:r>
          </w:p>
        </w:tc>
        <w:tc>
          <w:tcPr>
            <w:tcW w:type="dxa" w:w="3389"/>
            <w:vAlign w:val="center"/>
          </w:tcPr>
          <w:p>
            <w:pPr>
              <w:spacing w:after="20"/>
            </w:pPr>
            <w:r/>
            <w:r>
              <w:rPr>
                <w:b w:val="0"/>
                <w:color w:val="172033"/>
                <w:sz w:val="15"/>
              </w:rPr>
              <w:t>No untrusted text may override system policy; structured context allowlist; delimit data; output schema; no tool authority from model text.</w:t>
            </w:r>
          </w:p>
        </w:tc>
      </w:tr>
      <w:tr>
        <w:tc>
          <w:tcPr>
            <w:tcW w:type="dxa" w:w="3389"/>
            <w:vAlign w:val="center"/>
            <w:shd w:fill="F7F9FC"/>
          </w:tcPr>
          <w:p>
            <w:pPr>
              <w:spacing w:after="20"/>
            </w:pPr>
            <w:r/>
            <w:r>
              <w:rPr>
                <w:b w:val="0"/>
                <w:color w:val="172033"/>
                <w:sz w:val="15"/>
              </w:rPr>
              <w:t>Jailbreak</w:t>
            </w:r>
          </w:p>
        </w:tc>
        <w:tc>
          <w:tcPr>
            <w:tcW w:type="dxa" w:w="3389"/>
            <w:vAlign w:val="center"/>
            <w:shd w:fill="F7F9FC"/>
          </w:tcPr>
          <w:p>
            <w:pPr>
              <w:spacing w:after="20"/>
            </w:pPr>
            <w:r/>
            <w:r>
              <w:rPr>
                <w:b w:val="0"/>
                <w:color w:val="172033"/>
                <w:sz w:val="15"/>
              </w:rPr>
              <w:t>User attempts to bypass explanation safety</w:t>
            </w:r>
          </w:p>
        </w:tc>
        <w:tc>
          <w:tcPr>
            <w:tcW w:type="dxa" w:w="3389"/>
            <w:vAlign w:val="center"/>
            <w:shd w:fill="F7F9FC"/>
          </w:tcPr>
          <w:p>
            <w:pPr>
              <w:spacing w:after="20"/>
            </w:pPr>
            <w:r/>
            <w:r>
              <w:rPr>
                <w:b w:val="0"/>
                <w:color w:val="172033"/>
                <w:sz w:val="15"/>
              </w:rPr>
              <w:t>Constrain assistant role; policy checks; deterministic fallback; log repeated abuse without exposing secrets.</w:t>
            </w:r>
          </w:p>
        </w:tc>
      </w:tr>
      <w:tr>
        <w:tc>
          <w:tcPr>
            <w:tcW w:type="dxa" w:w="3389"/>
            <w:vAlign w:val="center"/>
          </w:tcPr>
          <w:p>
            <w:pPr>
              <w:spacing w:after="20"/>
            </w:pPr>
            <w:r/>
            <w:r>
              <w:rPr>
                <w:b w:val="0"/>
                <w:color w:val="172033"/>
                <w:sz w:val="15"/>
              </w:rPr>
              <w:t>Data poisoning</w:t>
            </w:r>
          </w:p>
        </w:tc>
        <w:tc>
          <w:tcPr>
            <w:tcW w:type="dxa" w:w="3389"/>
            <w:vAlign w:val="center"/>
          </w:tcPr>
          <w:p>
            <w:pPr>
              <w:spacing w:after="20"/>
            </w:pPr>
            <w:r/>
            <w:r>
              <w:rPr>
                <w:b w:val="0"/>
                <w:color w:val="172033"/>
                <w:sz w:val="15"/>
              </w:rPr>
              <w:t>Injected synthetic/training rows distort model</w:t>
            </w:r>
          </w:p>
        </w:tc>
        <w:tc>
          <w:tcPr>
            <w:tcW w:type="dxa" w:w="3389"/>
            <w:vAlign w:val="center"/>
          </w:tcPr>
          <w:p>
            <w:pPr>
              <w:spacing w:after="20"/>
            </w:pPr>
            <w:r/>
            <w:r>
              <w:rPr>
                <w:b w:val="0"/>
                <w:color w:val="172033"/>
                <w:sz w:val="15"/>
              </w:rPr>
              <w:t>Dataset provenance, schema checks, anomaly checks, immutable training snapshot, approval before retraining.</w:t>
            </w:r>
          </w:p>
        </w:tc>
      </w:tr>
      <w:tr>
        <w:tc>
          <w:tcPr>
            <w:tcW w:type="dxa" w:w="3389"/>
            <w:vAlign w:val="center"/>
            <w:shd w:fill="F7F9FC"/>
          </w:tcPr>
          <w:p>
            <w:pPr>
              <w:spacing w:after="20"/>
            </w:pPr>
            <w:r/>
            <w:r>
              <w:rPr>
                <w:b w:val="0"/>
                <w:color w:val="172033"/>
                <w:sz w:val="15"/>
              </w:rPr>
              <w:t>Model inversion / leakage</w:t>
            </w:r>
          </w:p>
        </w:tc>
        <w:tc>
          <w:tcPr>
            <w:tcW w:type="dxa" w:w="3389"/>
            <w:vAlign w:val="center"/>
            <w:shd w:fill="F7F9FC"/>
          </w:tcPr>
          <w:p>
            <w:pPr>
              <w:spacing w:after="20"/>
            </w:pPr>
            <w:r/>
            <w:r>
              <w:rPr>
                <w:b w:val="0"/>
                <w:color w:val="172033"/>
                <w:sz w:val="15"/>
              </w:rPr>
              <w:t>Queries reveal training examples or sensitive features</w:t>
            </w:r>
          </w:p>
        </w:tc>
        <w:tc>
          <w:tcPr>
            <w:tcW w:type="dxa" w:w="3389"/>
            <w:vAlign w:val="center"/>
            <w:shd w:fill="F7F9FC"/>
          </w:tcPr>
          <w:p>
            <w:pPr>
              <w:spacing w:after="20"/>
            </w:pPr>
            <w:r/>
            <w:r>
              <w:rPr>
                <w:b w:val="0"/>
                <w:color w:val="172033"/>
                <w:sz w:val="15"/>
              </w:rPr>
              <w:t>No real PII in hackathon; minimize outputs; aggregation; rate limits; future privacy review.</w:t>
            </w:r>
          </w:p>
        </w:tc>
      </w:tr>
      <w:tr>
        <w:tc>
          <w:tcPr>
            <w:tcW w:type="dxa" w:w="3389"/>
            <w:vAlign w:val="center"/>
          </w:tcPr>
          <w:p>
            <w:pPr>
              <w:spacing w:after="20"/>
            </w:pPr>
            <w:r/>
            <w:r>
              <w:rPr>
                <w:b w:val="0"/>
                <w:color w:val="172033"/>
                <w:sz w:val="15"/>
              </w:rPr>
              <w:t>Membership inference</w:t>
            </w:r>
          </w:p>
        </w:tc>
        <w:tc>
          <w:tcPr>
            <w:tcW w:type="dxa" w:w="3389"/>
            <w:vAlign w:val="center"/>
          </w:tcPr>
          <w:p>
            <w:pPr>
              <w:spacing w:after="20"/>
            </w:pPr>
            <w:r/>
            <w:r>
              <w:rPr>
                <w:b w:val="0"/>
                <w:color w:val="172033"/>
                <w:sz w:val="15"/>
              </w:rPr>
              <w:t>Attacker infers whether record was in training</w:t>
            </w:r>
          </w:p>
        </w:tc>
        <w:tc>
          <w:tcPr>
            <w:tcW w:type="dxa" w:w="3389"/>
            <w:vAlign w:val="center"/>
          </w:tcPr>
          <w:p>
            <w:pPr>
              <w:spacing w:after="20"/>
            </w:pPr>
            <w:r/>
            <w:r>
              <w:rPr>
                <w:b w:val="0"/>
                <w:color w:val="172033"/>
                <w:sz w:val="15"/>
              </w:rPr>
              <w:t>Synthetic prototype; future privacy testing, regularization/aggregation and output minimization.</w:t>
            </w:r>
          </w:p>
        </w:tc>
      </w:tr>
      <w:tr>
        <w:tc>
          <w:tcPr>
            <w:tcW w:type="dxa" w:w="3389"/>
            <w:vAlign w:val="center"/>
            <w:shd w:fill="F7F9FC"/>
          </w:tcPr>
          <w:p>
            <w:pPr>
              <w:spacing w:after="20"/>
            </w:pPr>
            <w:r/>
            <w:r>
              <w:rPr>
                <w:b w:val="0"/>
                <w:color w:val="172033"/>
                <w:sz w:val="15"/>
              </w:rPr>
              <w:t>Model extraction</w:t>
            </w:r>
          </w:p>
        </w:tc>
        <w:tc>
          <w:tcPr>
            <w:tcW w:type="dxa" w:w="3389"/>
            <w:vAlign w:val="center"/>
            <w:shd w:fill="F7F9FC"/>
          </w:tcPr>
          <w:p>
            <w:pPr>
              <w:spacing w:after="20"/>
            </w:pPr>
            <w:r/>
            <w:r>
              <w:rPr>
                <w:b w:val="0"/>
                <w:color w:val="172033"/>
                <w:sz w:val="15"/>
              </w:rPr>
              <w:t>High-volume prediction queries approximate model</w:t>
            </w:r>
          </w:p>
        </w:tc>
        <w:tc>
          <w:tcPr>
            <w:tcW w:type="dxa" w:w="3389"/>
            <w:vAlign w:val="center"/>
            <w:shd w:fill="F7F9FC"/>
          </w:tcPr>
          <w:p>
            <w:pPr>
              <w:spacing w:after="20"/>
            </w:pPr>
            <w:r/>
            <w:r>
              <w:rPr>
                <w:b w:val="0"/>
                <w:color w:val="172033"/>
                <w:sz w:val="15"/>
              </w:rPr>
              <w:t>Auth, quotas, rate limits, coarse explanations where appropriate, monitor query patterns.</w:t>
            </w:r>
          </w:p>
        </w:tc>
      </w:tr>
      <w:tr>
        <w:tc>
          <w:tcPr>
            <w:tcW w:type="dxa" w:w="3389"/>
            <w:vAlign w:val="center"/>
          </w:tcPr>
          <w:p>
            <w:pPr>
              <w:spacing w:after="20"/>
            </w:pPr>
            <w:r/>
            <w:r>
              <w:rPr>
                <w:b w:val="0"/>
                <w:color w:val="172033"/>
                <w:sz w:val="15"/>
              </w:rPr>
              <w:t>Adversarial input</w:t>
            </w:r>
          </w:p>
        </w:tc>
        <w:tc>
          <w:tcPr>
            <w:tcW w:type="dxa" w:w="3389"/>
            <w:vAlign w:val="center"/>
          </w:tcPr>
          <w:p>
            <w:pPr>
              <w:spacing w:after="20"/>
            </w:pPr>
            <w:r/>
            <w:r>
              <w:rPr>
                <w:b w:val="0"/>
                <w:color w:val="172033"/>
                <w:sz w:val="15"/>
              </w:rPr>
              <w:t>Extreme values manipulate score</w:t>
            </w:r>
          </w:p>
        </w:tc>
        <w:tc>
          <w:tcPr>
            <w:tcW w:type="dxa" w:w="3389"/>
            <w:vAlign w:val="center"/>
          </w:tcPr>
          <w:p>
            <w:pPr>
              <w:spacing w:after="20"/>
            </w:pPr>
            <w:r/>
            <w:r>
              <w:rPr>
                <w:b w:val="0"/>
                <w:color w:val="172033"/>
                <w:sz w:val="15"/>
              </w:rPr>
              <w:t>Range/domain validation, robust features, out-of-distribution flags, abstain/manual review.</w:t>
            </w:r>
          </w:p>
        </w:tc>
      </w:tr>
      <w:tr>
        <w:tc>
          <w:tcPr>
            <w:tcW w:type="dxa" w:w="3389"/>
            <w:vAlign w:val="center"/>
            <w:shd w:fill="F7F9FC"/>
          </w:tcPr>
          <w:p>
            <w:pPr>
              <w:spacing w:after="20"/>
            </w:pPr>
            <w:r/>
            <w:r>
              <w:rPr>
                <w:b w:val="0"/>
                <w:color w:val="172033"/>
                <w:sz w:val="15"/>
              </w:rPr>
              <w:t>Agent/tool abuse</w:t>
            </w:r>
          </w:p>
        </w:tc>
        <w:tc>
          <w:tcPr>
            <w:tcW w:type="dxa" w:w="3389"/>
            <w:vAlign w:val="center"/>
            <w:shd w:fill="F7F9FC"/>
          </w:tcPr>
          <w:p>
            <w:pPr>
              <w:spacing w:after="20"/>
            </w:pPr>
            <w:r/>
            <w:r>
              <w:rPr>
                <w:b w:val="0"/>
                <w:color w:val="172033"/>
                <w:sz w:val="15"/>
              </w:rPr>
              <w:t>LLM attempts privileged API/tool action</w:t>
            </w:r>
          </w:p>
        </w:tc>
        <w:tc>
          <w:tcPr>
            <w:tcW w:type="dxa" w:w="3389"/>
            <w:vAlign w:val="center"/>
            <w:shd w:fill="F7F9FC"/>
          </w:tcPr>
          <w:p>
            <w:pPr>
              <w:spacing w:after="20"/>
            </w:pPr>
            <w:r/>
            <w:r>
              <w:rPr>
                <w:b w:val="0"/>
                <w:color w:val="172033"/>
                <w:sz w:val="15"/>
              </w:rPr>
              <w:t>LLM has no direct privileged credentials; allowlisted read tools; human confirmation for writes.</w:t>
            </w:r>
          </w:p>
        </w:tc>
      </w:tr>
      <w:tr>
        <w:tc>
          <w:tcPr>
            <w:tcW w:type="dxa" w:w="3389"/>
            <w:vAlign w:val="center"/>
          </w:tcPr>
          <w:p>
            <w:pPr>
              <w:spacing w:after="20"/>
            </w:pPr>
            <w:r/>
            <w:r>
              <w:rPr>
                <w:b w:val="0"/>
                <w:color w:val="172033"/>
                <w:sz w:val="15"/>
              </w:rPr>
              <w:t>Hallucinated explanation</w:t>
            </w:r>
          </w:p>
        </w:tc>
        <w:tc>
          <w:tcPr>
            <w:tcW w:type="dxa" w:w="3389"/>
            <w:vAlign w:val="center"/>
          </w:tcPr>
          <w:p>
            <w:pPr>
              <w:spacing w:after="20"/>
            </w:pPr>
            <w:r/>
            <w:r>
              <w:rPr>
                <w:b w:val="0"/>
                <w:color w:val="172033"/>
                <w:sz w:val="15"/>
              </w:rPr>
              <w:t>LLM invents reason</w:t>
            </w:r>
          </w:p>
        </w:tc>
        <w:tc>
          <w:tcPr>
            <w:tcW w:type="dxa" w:w="3389"/>
            <w:vAlign w:val="center"/>
          </w:tcPr>
          <w:p>
            <w:pPr>
              <w:spacing w:after="20"/>
            </w:pPr>
            <w:r/>
            <w:r>
              <w:rPr>
                <w:b w:val="0"/>
                <w:color w:val="172033"/>
                <w:sz w:val="15"/>
              </w:rPr>
              <w:t>Explanation generated only from reason_codes/approved facts; schema validation; factuality tests.</w:t>
            </w:r>
          </w:p>
        </w:tc>
      </w:tr>
      <w:tr>
        <w:tc>
          <w:tcPr>
            <w:tcW w:type="dxa" w:w="3389"/>
            <w:vAlign w:val="center"/>
            <w:shd w:fill="F7F9FC"/>
          </w:tcPr>
          <w:p>
            <w:pPr>
              <w:spacing w:after="20"/>
            </w:pPr>
            <w:r/>
            <w:r>
              <w:rPr>
                <w:b w:val="0"/>
                <w:color w:val="172033"/>
                <w:sz w:val="15"/>
              </w:rPr>
              <w:t>Model drift</w:t>
            </w:r>
          </w:p>
        </w:tc>
        <w:tc>
          <w:tcPr>
            <w:tcW w:type="dxa" w:w="3389"/>
            <w:vAlign w:val="center"/>
            <w:shd w:fill="F7F9FC"/>
          </w:tcPr>
          <w:p>
            <w:pPr>
              <w:spacing w:after="20"/>
            </w:pPr>
            <w:r/>
            <w:r>
              <w:rPr>
                <w:b w:val="0"/>
                <w:color w:val="172033"/>
                <w:sz w:val="15"/>
              </w:rPr>
              <w:t>Behavior changes after deployment</w:t>
            </w:r>
          </w:p>
        </w:tc>
        <w:tc>
          <w:tcPr>
            <w:tcW w:type="dxa" w:w="3389"/>
            <w:vAlign w:val="center"/>
            <w:shd w:fill="F7F9FC"/>
          </w:tcPr>
          <w:p>
            <w:pPr>
              <w:spacing w:after="20"/>
            </w:pPr>
            <w:r/>
            <w:r>
              <w:rPr>
                <w:b w:val="0"/>
                <w:color w:val="172033"/>
                <w:sz w:val="15"/>
              </w:rPr>
              <w:t>Performance/drift monitors, champion-challenger, rollback and retraining gates.</w:t>
            </w:r>
          </w:p>
        </w:tc>
      </w:tr>
    </w:tbl>
    <w:p>
      <w:pPr>
        <w:spacing w:after="20"/>
      </w:pPr>
    </w:p>
    <w:p>
      <w:pPr>
        <w:pStyle w:val="Heading1"/>
      </w:pPr>
      <w:r>
        <w:t>11.4 MITRE ATLAS-Inspired Control Mapping</w:t>
      </w:r>
    </w:p>
    <w:p>
      <w:r>
        <w:t>For the prototype, maintain an adversarial test catalogue covering prompt injection, evasion/adversarial examples, poisoning, model discovery/extraction and ML supply-chain/artifact tampering. Exact technique IDs should be finalized against the current MITRE ATLAS catalogue during implementation; the SRS requires coverage and evidence rather than hard-coding potentially changing identifiers.</w:t>
      </w:r>
    </w:p>
    <w:p>
      <w:pPr>
        <w:pStyle w:val="Heading1"/>
      </w:pPr>
      <w:r>
        <w:t>11.5 Secure Engineering Baseline</w:t>
      </w:r>
    </w:p>
    <w:p>
      <w:pPr>
        <w:pStyle w:val="ListBullet"/>
        <w:spacing w:after="40"/>
      </w:pPr>
      <w:r>
        <w:t>TLS in transit; encryption at rest where supported; secrets in environment/secret manager, never repository.</w:t>
      </w:r>
    </w:p>
    <w:p>
      <w:pPr>
        <w:pStyle w:val="ListBullet"/>
        <w:spacing w:after="40"/>
      </w:pPr>
      <w:r>
        <w:t>Parameterized queries/ORM; CSP, secure headers, XSS/CSRF defenses; strict CORS allowlist.</w:t>
      </w:r>
    </w:p>
    <w:p>
      <w:pPr>
        <w:pStyle w:val="ListBullet"/>
        <w:spacing w:after="40"/>
      </w:pPr>
      <w:r>
        <w:t>Dependency/SBOM scanning, secret scanning and container image scanning in CI.</w:t>
      </w:r>
    </w:p>
    <w:p>
      <w:pPr>
        <w:pStyle w:val="ListBullet"/>
        <w:spacing w:after="40"/>
      </w:pPr>
      <w:r>
        <w:t>File export formula-injection prevention for CSV; sanitize filenames/content disposition.</w:t>
      </w:r>
    </w:p>
    <w:p>
      <w:pPr>
        <w:pStyle w:val="ListBullet"/>
        <w:spacing w:after="40"/>
      </w:pPr>
      <w:r>
        <w:t>Geospatial and entity endpoints enforce row-level authorization.</w:t>
      </w:r>
    </w:p>
    <w:p>
      <w:pPr>
        <w:pStyle w:val="ListBullet"/>
        <w:spacing w:after="40"/>
      </w:pPr>
      <w:r>
        <w:t>Logs must not contain passwords, tokens or sensitive raw payloads.</w:t>
      </w:r>
    </w:p>
    <w:p>
      <w:pPr>
        <w:pStyle w:val="ListBullet"/>
        <w:spacing w:after="40"/>
      </w:pPr>
      <w:r>
        <w:t>Backups, restore test and incident runbook for production path.</w:t>
      </w:r>
    </w:p>
    <w:p>
      <w:pPr>
        <w:pStyle w:val="Title"/>
      </w:pPr>
      <w:r>
        <w:t>12. Non-Functional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0233F"/>
          </w:tcPr>
          <w:p>
            <w:pPr>
              <w:spacing w:after="20"/>
            </w:pPr>
            <w:r/>
            <w:r>
              <w:rPr>
                <w:b/>
                <w:color w:val="FFFFFF"/>
                <w:sz w:val="16"/>
              </w:rPr>
              <w:t>ID</w:t>
            </w:r>
          </w:p>
        </w:tc>
        <w:tc>
          <w:tcPr>
            <w:tcW w:type="dxa" w:w="3389"/>
            <w:vAlign w:val="center"/>
            <w:shd w:fill="10233F"/>
          </w:tcPr>
          <w:p>
            <w:pPr>
              <w:spacing w:after="20"/>
            </w:pPr>
            <w:r/>
            <w:r>
              <w:rPr>
                <w:b/>
                <w:color w:val="FFFFFF"/>
                <w:sz w:val="16"/>
              </w:rPr>
              <w:t>Category</w:t>
            </w:r>
          </w:p>
        </w:tc>
        <w:tc>
          <w:tcPr>
            <w:tcW w:type="dxa" w:w="3389"/>
            <w:vAlign w:val="center"/>
            <w:shd w:fill="10233F"/>
          </w:tcPr>
          <w:p>
            <w:pPr>
              <w:spacing w:after="20"/>
            </w:pPr>
            <w:r/>
            <w:r>
              <w:rPr>
                <w:b/>
                <w:color w:val="FFFFFF"/>
                <w:sz w:val="16"/>
              </w:rPr>
              <w:t>Target</w:t>
            </w:r>
          </w:p>
        </w:tc>
      </w:tr>
      <w:tr>
        <w:tc>
          <w:tcPr>
            <w:tcW w:type="dxa" w:w="3389"/>
            <w:vAlign w:val="center"/>
          </w:tcPr>
          <w:p>
            <w:pPr>
              <w:spacing w:after="20"/>
            </w:pPr>
            <w:r/>
            <w:r>
              <w:rPr>
                <w:b w:val="0"/>
                <w:color w:val="172033"/>
                <w:sz w:val="15"/>
              </w:rPr>
              <w:t>NFR-01</w:t>
            </w:r>
          </w:p>
        </w:tc>
        <w:tc>
          <w:tcPr>
            <w:tcW w:type="dxa" w:w="3389"/>
            <w:vAlign w:val="center"/>
          </w:tcPr>
          <w:p>
            <w:pPr>
              <w:spacing w:after="20"/>
            </w:pPr>
            <w:r/>
            <w:r>
              <w:rPr>
                <w:b w:val="0"/>
                <w:color w:val="172033"/>
                <w:sz w:val="15"/>
              </w:rPr>
              <w:t>Availability</w:t>
            </w:r>
          </w:p>
        </w:tc>
        <w:tc>
          <w:tcPr>
            <w:tcW w:type="dxa" w:w="3389"/>
            <w:vAlign w:val="center"/>
          </w:tcPr>
          <w:p>
            <w:pPr>
              <w:spacing w:after="20"/>
            </w:pPr>
            <w:r/>
            <w:r>
              <w:rPr>
                <w:b w:val="0"/>
                <w:color w:val="172033"/>
                <w:sz w:val="15"/>
              </w:rPr>
              <w:t>Prototype demo target ≥99% during event window; production target to be defined, suggested ≥99.9% for read intelligence APIs.</w:t>
            </w:r>
          </w:p>
        </w:tc>
      </w:tr>
      <w:tr>
        <w:tc>
          <w:tcPr>
            <w:tcW w:type="dxa" w:w="3389"/>
            <w:vAlign w:val="center"/>
            <w:shd w:fill="F7F9FC"/>
          </w:tcPr>
          <w:p>
            <w:pPr>
              <w:spacing w:after="20"/>
            </w:pPr>
            <w:r/>
            <w:r>
              <w:rPr>
                <w:b w:val="0"/>
                <w:color w:val="172033"/>
                <w:sz w:val="15"/>
              </w:rPr>
              <w:t>NFR-02</w:t>
            </w:r>
          </w:p>
        </w:tc>
        <w:tc>
          <w:tcPr>
            <w:tcW w:type="dxa" w:w="3389"/>
            <w:vAlign w:val="center"/>
            <w:shd w:fill="F7F9FC"/>
          </w:tcPr>
          <w:p>
            <w:pPr>
              <w:spacing w:after="20"/>
            </w:pPr>
            <w:r/>
            <w:r>
              <w:rPr>
                <w:b w:val="0"/>
                <w:color w:val="172033"/>
                <w:sz w:val="15"/>
              </w:rPr>
              <w:t>Latency</w:t>
            </w:r>
          </w:p>
        </w:tc>
        <w:tc>
          <w:tcPr>
            <w:tcW w:type="dxa" w:w="3389"/>
            <w:vAlign w:val="center"/>
            <w:shd w:fill="F7F9FC"/>
          </w:tcPr>
          <w:p>
            <w:pPr>
              <w:spacing w:after="20"/>
            </w:pPr>
            <w:r/>
            <w:r>
              <w:rPr>
                <w:b w:val="0"/>
                <w:color w:val="172033"/>
                <w:sz w:val="15"/>
              </w:rPr>
              <w:t>Cached dashboard p95 &lt; 1.5s; normal API p95 &lt; 800ms; interactive filter response &lt; 300ms where client-side/cached.</w:t>
            </w:r>
          </w:p>
        </w:tc>
      </w:tr>
      <w:tr>
        <w:tc>
          <w:tcPr>
            <w:tcW w:type="dxa" w:w="3389"/>
            <w:vAlign w:val="center"/>
          </w:tcPr>
          <w:p>
            <w:pPr>
              <w:spacing w:after="20"/>
            </w:pPr>
            <w:r/>
            <w:r>
              <w:rPr>
                <w:b w:val="0"/>
                <w:color w:val="172033"/>
                <w:sz w:val="15"/>
              </w:rPr>
              <w:t>NFR-03</w:t>
            </w:r>
          </w:p>
        </w:tc>
        <w:tc>
          <w:tcPr>
            <w:tcW w:type="dxa" w:w="3389"/>
            <w:vAlign w:val="center"/>
          </w:tcPr>
          <w:p>
            <w:pPr>
              <w:spacing w:after="20"/>
            </w:pPr>
            <w:r/>
            <w:r>
              <w:rPr>
                <w:b w:val="0"/>
                <w:color w:val="172033"/>
                <w:sz w:val="15"/>
              </w:rPr>
              <w:t>Inference</w:t>
            </w:r>
          </w:p>
        </w:tc>
        <w:tc>
          <w:tcPr>
            <w:tcW w:type="dxa" w:w="3389"/>
            <w:vAlign w:val="center"/>
          </w:tcPr>
          <w:p>
            <w:pPr>
              <w:spacing w:after="20"/>
            </w:pPr>
            <w:r/>
            <w:r>
              <w:rPr>
                <w:b w:val="0"/>
                <w:color w:val="172033"/>
                <w:sz w:val="15"/>
              </w:rPr>
              <w:t>Single-entity tabular inference p95 &lt; 500ms excluding network; heavy batch work asynchronous.</w:t>
            </w:r>
          </w:p>
        </w:tc>
      </w:tr>
      <w:tr>
        <w:tc>
          <w:tcPr>
            <w:tcW w:type="dxa" w:w="3389"/>
            <w:vAlign w:val="center"/>
            <w:shd w:fill="F7F9FC"/>
          </w:tcPr>
          <w:p>
            <w:pPr>
              <w:spacing w:after="20"/>
            </w:pPr>
            <w:r/>
            <w:r>
              <w:rPr>
                <w:b w:val="0"/>
                <w:color w:val="172033"/>
                <w:sz w:val="15"/>
              </w:rPr>
              <w:t>NFR-04</w:t>
            </w:r>
          </w:p>
        </w:tc>
        <w:tc>
          <w:tcPr>
            <w:tcW w:type="dxa" w:w="3389"/>
            <w:vAlign w:val="center"/>
            <w:shd w:fill="F7F9FC"/>
          </w:tcPr>
          <w:p>
            <w:pPr>
              <w:spacing w:after="20"/>
            </w:pPr>
            <w:r/>
            <w:r>
              <w:rPr>
                <w:b w:val="0"/>
                <w:color w:val="172033"/>
                <w:sz w:val="15"/>
              </w:rPr>
              <w:t>Scalability</w:t>
            </w:r>
          </w:p>
        </w:tc>
        <w:tc>
          <w:tcPr>
            <w:tcW w:type="dxa" w:w="3389"/>
            <w:vAlign w:val="center"/>
            <w:shd w:fill="F7F9FC"/>
          </w:tcPr>
          <w:p>
            <w:pPr>
              <w:spacing w:after="20"/>
            </w:pPr>
            <w:r/>
            <w:r>
              <w:rPr>
                <w:b w:val="0"/>
                <w:color w:val="172033"/>
                <w:sz w:val="15"/>
              </w:rPr>
              <w:t>Stateless API instances; horizontal scale; pagination; queue-backed heavy tasks.</w:t>
            </w:r>
          </w:p>
        </w:tc>
      </w:tr>
      <w:tr>
        <w:tc>
          <w:tcPr>
            <w:tcW w:type="dxa" w:w="3389"/>
            <w:vAlign w:val="center"/>
          </w:tcPr>
          <w:p>
            <w:pPr>
              <w:spacing w:after="20"/>
            </w:pPr>
            <w:r/>
            <w:r>
              <w:rPr>
                <w:b w:val="0"/>
                <w:color w:val="172033"/>
                <w:sz w:val="15"/>
              </w:rPr>
              <w:t>NFR-05</w:t>
            </w:r>
          </w:p>
        </w:tc>
        <w:tc>
          <w:tcPr>
            <w:tcW w:type="dxa" w:w="3389"/>
            <w:vAlign w:val="center"/>
          </w:tcPr>
          <w:p>
            <w:pPr>
              <w:spacing w:after="20"/>
            </w:pPr>
            <w:r/>
            <w:r>
              <w:rPr>
                <w:b w:val="0"/>
                <w:color w:val="172033"/>
                <w:sz w:val="15"/>
              </w:rPr>
              <w:t>Reliability</w:t>
            </w:r>
          </w:p>
        </w:tc>
        <w:tc>
          <w:tcPr>
            <w:tcW w:type="dxa" w:w="3389"/>
            <w:vAlign w:val="center"/>
          </w:tcPr>
          <w:p>
            <w:pPr>
              <w:spacing w:after="20"/>
            </w:pPr>
            <w:r/>
            <w:r>
              <w:rPr>
                <w:b w:val="0"/>
                <w:color w:val="172033"/>
                <w:sz w:val="15"/>
              </w:rPr>
              <w:t>Graceful degradation: if AI explanation fails, structured prediction/reason codes remain available.</w:t>
            </w:r>
          </w:p>
        </w:tc>
      </w:tr>
      <w:tr>
        <w:tc>
          <w:tcPr>
            <w:tcW w:type="dxa" w:w="3389"/>
            <w:vAlign w:val="center"/>
            <w:shd w:fill="F7F9FC"/>
          </w:tcPr>
          <w:p>
            <w:pPr>
              <w:spacing w:after="20"/>
            </w:pPr>
            <w:r/>
            <w:r>
              <w:rPr>
                <w:b w:val="0"/>
                <w:color w:val="172033"/>
                <w:sz w:val="15"/>
              </w:rPr>
              <w:t>NFR-06</w:t>
            </w:r>
          </w:p>
        </w:tc>
        <w:tc>
          <w:tcPr>
            <w:tcW w:type="dxa" w:w="3389"/>
            <w:vAlign w:val="center"/>
            <w:shd w:fill="F7F9FC"/>
          </w:tcPr>
          <w:p>
            <w:pPr>
              <w:spacing w:after="20"/>
            </w:pPr>
            <w:r/>
            <w:r>
              <w:rPr>
                <w:b w:val="0"/>
                <w:color w:val="172033"/>
                <w:sz w:val="15"/>
              </w:rPr>
              <w:t>Consistency</w:t>
            </w:r>
          </w:p>
        </w:tc>
        <w:tc>
          <w:tcPr>
            <w:tcW w:type="dxa" w:w="3389"/>
            <w:vAlign w:val="center"/>
            <w:shd w:fill="F7F9FC"/>
          </w:tcPr>
          <w:p>
            <w:pPr>
              <w:spacing w:after="20"/>
            </w:pPr>
            <w:r/>
            <w:r>
              <w:rPr>
                <w:b w:val="0"/>
                <w:color w:val="172033"/>
                <w:sz w:val="15"/>
              </w:rPr>
              <w:t>Writes use transactions; idempotency for retry-sensitive operations.</w:t>
            </w:r>
          </w:p>
        </w:tc>
      </w:tr>
      <w:tr>
        <w:tc>
          <w:tcPr>
            <w:tcW w:type="dxa" w:w="3389"/>
            <w:vAlign w:val="center"/>
          </w:tcPr>
          <w:p>
            <w:pPr>
              <w:spacing w:after="20"/>
            </w:pPr>
            <w:r/>
            <w:r>
              <w:rPr>
                <w:b w:val="0"/>
                <w:color w:val="172033"/>
                <w:sz w:val="15"/>
              </w:rPr>
              <w:t>NFR-07</w:t>
            </w:r>
          </w:p>
        </w:tc>
        <w:tc>
          <w:tcPr>
            <w:tcW w:type="dxa" w:w="3389"/>
            <w:vAlign w:val="center"/>
          </w:tcPr>
          <w:p>
            <w:pPr>
              <w:spacing w:after="20"/>
            </w:pPr>
            <w:r/>
            <w:r>
              <w:rPr>
                <w:b w:val="0"/>
                <w:color w:val="172033"/>
                <w:sz w:val="15"/>
              </w:rPr>
              <w:t>Security</w:t>
            </w:r>
          </w:p>
        </w:tc>
        <w:tc>
          <w:tcPr>
            <w:tcW w:type="dxa" w:w="3389"/>
            <w:vAlign w:val="center"/>
          </w:tcPr>
          <w:p>
            <w:pPr>
              <w:spacing w:after="20"/>
            </w:pPr>
            <w:r/>
            <w:r>
              <w:rPr>
                <w:b w:val="0"/>
                <w:color w:val="172033"/>
                <w:sz w:val="15"/>
              </w:rPr>
              <w:t>OWASP-aligned controls, deny-by-default authorization, secret hygiene, auditability.</w:t>
            </w:r>
          </w:p>
        </w:tc>
      </w:tr>
      <w:tr>
        <w:tc>
          <w:tcPr>
            <w:tcW w:type="dxa" w:w="3389"/>
            <w:vAlign w:val="center"/>
            <w:shd w:fill="F7F9FC"/>
          </w:tcPr>
          <w:p>
            <w:pPr>
              <w:spacing w:after="20"/>
            </w:pPr>
            <w:r/>
            <w:r>
              <w:rPr>
                <w:b w:val="0"/>
                <w:color w:val="172033"/>
                <w:sz w:val="15"/>
              </w:rPr>
              <w:t>NFR-08</w:t>
            </w:r>
          </w:p>
        </w:tc>
        <w:tc>
          <w:tcPr>
            <w:tcW w:type="dxa" w:w="3389"/>
            <w:vAlign w:val="center"/>
            <w:shd w:fill="F7F9FC"/>
          </w:tcPr>
          <w:p>
            <w:pPr>
              <w:spacing w:after="20"/>
            </w:pPr>
            <w:r/>
            <w:r>
              <w:rPr>
                <w:b w:val="0"/>
                <w:color w:val="172033"/>
                <w:sz w:val="15"/>
              </w:rPr>
              <w:t>Privacy</w:t>
            </w:r>
          </w:p>
        </w:tc>
        <w:tc>
          <w:tcPr>
            <w:tcW w:type="dxa" w:w="3389"/>
            <w:vAlign w:val="center"/>
            <w:shd w:fill="F7F9FC"/>
          </w:tcPr>
          <w:p>
            <w:pPr>
              <w:spacing w:after="20"/>
            </w:pPr>
            <w:r/>
            <w:r>
              <w:rPr>
                <w:b w:val="0"/>
                <w:color w:val="172033"/>
                <w:sz w:val="15"/>
              </w:rPr>
              <w:t>Synthetic data only in competition; data minimization and future retention policy hooks.</w:t>
            </w:r>
          </w:p>
        </w:tc>
      </w:tr>
      <w:tr>
        <w:tc>
          <w:tcPr>
            <w:tcW w:type="dxa" w:w="3389"/>
            <w:vAlign w:val="center"/>
          </w:tcPr>
          <w:p>
            <w:pPr>
              <w:spacing w:after="20"/>
            </w:pPr>
            <w:r/>
            <w:r>
              <w:rPr>
                <w:b w:val="0"/>
                <w:color w:val="172033"/>
                <w:sz w:val="15"/>
              </w:rPr>
              <w:t>NFR-09</w:t>
            </w:r>
          </w:p>
        </w:tc>
        <w:tc>
          <w:tcPr>
            <w:tcW w:type="dxa" w:w="3389"/>
            <w:vAlign w:val="center"/>
          </w:tcPr>
          <w:p>
            <w:pPr>
              <w:spacing w:after="20"/>
            </w:pPr>
            <w:r/>
            <w:r>
              <w:rPr>
                <w:b w:val="0"/>
                <w:color w:val="172033"/>
                <w:sz w:val="15"/>
              </w:rPr>
              <w:t>Accessibility</w:t>
            </w:r>
          </w:p>
        </w:tc>
        <w:tc>
          <w:tcPr>
            <w:tcW w:type="dxa" w:w="3389"/>
            <w:vAlign w:val="center"/>
          </w:tcPr>
          <w:p>
            <w:pPr>
              <w:spacing w:after="20"/>
            </w:pPr>
            <w:r/>
            <w:r>
              <w:rPr>
                <w:b w:val="0"/>
                <w:color w:val="172033"/>
                <w:sz w:val="15"/>
              </w:rPr>
              <w:t>WCAG 2.2 AA-oriented implementation; keyboard/reduced-motion support.</w:t>
            </w:r>
          </w:p>
        </w:tc>
      </w:tr>
      <w:tr>
        <w:tc>
          <w:tcPr>
            <w:tcW w:type="dxa" w:w="3389"/>
            <w:vAlign w:val="center"/>
            <w:shd w:fill="F7F9FC"/>
          </w:tcPr>
          <w:p>
            <w:pPr>
              <w:spacing w:after="20"/>
            </w:pPr>
            <w:r/>
            <w:r>
              <w:rPr>
                <w:b w:val="0"/>
                <w:color w:val="172033"/>
                <w:sz w:val="15"/>
              </w:rPr>
              <w:t>NFR-10</w:t>
            </w:r>
          </w:p>
        </w:tc>
        <w:tc>
          <w:tcPr>
            <w:tcW w:type="dxa" w:w="3389"/>
            <w:vAlign w:val="center"/>
            <w:shd w:fill="F7F9FC"/>
          </w:tcPr>
          <w:p>
            <w:pPr>
              <w:spacing w:after="20"/>
            </w:pPr>
            <w:r/>
            <w:r>
              <w:rPr>
                <w:b w:val="0"/>
                <w:color w:val="172033"/>
                <w:sz w:val="15"/>
              </w:rPr>
              <w:t>Browser</w:t>
            </w:r>
          </w:p>
        </w:tc>
        <w:tc>
          <w:tcPr>
            <w:tcW w:type="dxa" w:w="3389"/>
            <w:vAlign w:val="center"/>
            <w:shd w:fill="F7F9FC"/>
          </w:tcPr>
          <w:p>
            <w:pPr>
              <w:spacing w:after="20"/>
            </w:pPr>
            <w:r/>
            <w:r>
              <w:rPr>
                <w:b w:val="0"/>
                <w:color w:val="172033"/>
                <w:sz w:val="15"/>
              </w:rPr>
              <w:t>Current major Chromium/Firefox/Safari; responsive from 360px width.</w:t>
            </w:r>
          </w:p>
        </w:tc>
      </w:tr>
      <w:tr>
        <w:tc>
          <w:tcPr>
            <w:tcW w:type="dxa" w:w="3389"/>
            <w:vAlign w:val="center"/>
          </w:tcPr>
          <w:p>
            <w:pPr>
              <w:spacing w:after="20"/>
            </w:pPr>
            <w:r/>
            <w:r>
              <w:rPr>
                <w:b w:val="0"/>
                <w:color w:val="172033"/>
                <w:sz w:val="15"/>
              </w:rPr>
              <w:t>NFR-11</w:t>
            </w:r>
          </w:p>
        </w:tc>
        <w:tc>
          <w:tcPr>
            <w:tcW w:type="dxa" w:w="3389"/>
            <w:vAlign w:val="center"/>
          </w:tcPr>
          <w:p>
            <w:pPr>
              <w:spacing w:after="20"/>
            </w:pPr>
            <w:r/>
            <w:r>
              <w:rPr>
                <w:b w:val="0"/>
                <w:color w:val="172033"/>
                <w:sz w:val="15"/>
              </w:rPr>
              <w:t>Maintainability</w:t>
            </w:r>
          </w:p>
        </w:tc>
        <w:tc>
          <w:tcPr>
            <w:tcW w:type="dxa" w:w="3389"/>
            <w:vAlign w:val="center"/>
          </w:tcPr>
          <w:p>
            <w:pPr>
              <w:spacing w:after="20"/>
            </w:pPr>
            <w:r/>
            <w:r>
              <w:rPr>
                <w:b w:val="0"/>
                <w:color w:val="172033"/>
                <w:sz w:val="15"/>
              </w:rPr>
              <w:t>Typed contracts, modular domains, ≥80% coverage target for critical business/security logic.</w:t>
            </w:r>
          </w:p>
        </w:tc>
      </w:tr>
      <w:tr>
        <w:tc>
          <w:tcPr>
            <w:tcW w:type="dxa" w:w="3389"/>
            <w:vAlign w:val="center"/>
            <w:shd w:fill="F7F9FC"/>
          </w:tcPr>
          <w:p>
            <w:pPr>
              <w:spacing w:after="20"/>
            </w:pPr>
            <w:r/>
            <w:r>
              <w:rPr>
                <w:b w:val="0"/>
                <w:color w:val="172033"/>
                <w:sz w:val="15"/>
              </w:rPr>
              <w:t>NFR-12</w:t>
            </w:r>
          </w:p>
        </w:tc>
        <w:tc>
          <w:tcPr>
            <w:tcW w:type="dxa" w:w="3389"/>
            <w:vAlign w:val="center"/>
            <w:shd w:fill="F7F9FC"/>
          </w:tcPr>
          <w:p>
            <w:pPr>
              <w:spacing w:after="20"/>
            </w:pPr>
            <w:r/>
            <w:r>
              <w:rPr>
                <w:b w:val="0"/>
                <w:color w:val="172033"/>
                <w:sz w:val="15"/>
              </w:rPr>
              <w:t>Explainability</w:t>
            </w:r>
          </w:p>
        </w:tc>
        <w:tc>
          <w:tcPr>
            <w:tcW w:type="dxa" w:w="3389"/>
            <w:vAlign w:val="center"/>
            <w:shd w:fill="F7F9FC"/>
          </w:tcPr>
          <w:p>
            <w:pPr>
              <w:spacing w:after="20"/>
            </w:pPr>
            <w:r/>
            <w:r>
              <w:rPr>
                <w:b w:val="0"/>
                <w:color w:val="172033"/>
                <w:sz w:val="15"/>
              </w:rPr>
              <w:t>100% of consequential model cards expose reason codes, version and timestamp.</w:t>
            </w:r>
          </w:p>
        </w:tc>
      </w:tr>
      <w:tr>
        <w:tc>
          <w:tcPr>
            <w:tcW w:type="dxa" w:w="3389"/>
            <w:vAlign w:val="center"/>
          </w:tcPr>
          <w:p>
            <w:pPr>
              <w:spacing w:after="20"/>
            </w:pPr>
            <w:r/>
            <w:r>
              <w:rPr>
                <w:b w:val="0"/>
                <w:color w:val="172033"/>
                <w:sz w:val="15"/>
              </w:rPr>
              <w:t>NFR-13</w:t>
            </w:r>
          </w:p>
        </w:tc>
        <w:tc>
          <w:tcPr>
            <w:tcW w:type="dxa" w:w="3389"/>
            <w:vAlign w:val="center"/>
          </w:tcPr>
          <w:p>
            <w:pPr>
              <w:spacing w:after="20"/>
            </w:pPr>
            <w:r/>
            <w:r>
              <w:rPr>
                <w:b w:val="0"/>
                <w:color w:val="172033"/>
                <w:sz w:val="15"/>
              </w:rPr>
              <w:t>Auditability</w:t>
            </w:r>
          </w:p>
        </w:tc>
        <w:tc>
          <w:tcPr>
            <w:tcW w:type="dxa" w:w="3389"/>
            <w:vAlign w:val="center"/>
          </w:tcPr>
          <w:p>
            <w:pPr>
              <w:spacing w:after="20"/>
            </w:pPr>
            <w:r/>
            <w:r>
              <w:rPr>
                <w:b w:val="0"/>
                <w:color w:val="172033"/>
                <w:sz w:val="15"/>
              </w:rPr>
              <w:t>100% privileged writes include actor, action, object, timestamp, result and correlation ID.</w:t>
            </w:r>
          </w:p>
        </w:tc>
      </w:tr>
    </w:tbl>
    <w:p>
      <w:pPr>
        <w:spacing w:after="20"/>
      </w:pPr>
    </w:p>
    <w:p>
      <w:pPr>
        <w:pStyle w:val="Title"/>
      </w:pPr>
      <w:r>
        <w:t>13. Observability, MLOps &amp; Reliability</w:t>
      </w:r>
    </w:p>
    <w:p>
      <w:pPr>
        <w:pStyle w:val="Heading1"/>
      </w:pPr>
      <w:r>
        <w:t>13.1 Operational Telemetry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Signal</w:t>
            </w:r>
          </w:p>
        </w:tc>
        <w:tc>
          <w:tcPr>
            <w:tcW w:type="dxa" w:w="5083"/>
            <w:vAlign w:val="center"/>
            <w:shd w:fill="10233F"/>
          </w:tcPr>
          <w:p>
            <w:pPr>
              <w:spacing w:after="20"/>
            </w:pPr>
            <w:r/>
            <w:r>
              <w:rPr>
                <w:b/>
                <w:color w:val="FFFFFF"/>
                <w:sz w:val="16"/>
              </w:rPr>
              <w:t>Examples</w:t>
            </w:r>
          </w:p>
        </w:tc>
      </w:tr>
      <w:tr>
        <w:tc>
          <w:tcPr>
            <w:tcW w:type="dxa" w:w="5083"/>
            <w:vAlign w:val="center"/>
          </w:tcPr>
          <w:p>
            <w:pPr>
              <w:spacing w:after="20"/>
            </w:pPr>
            <w:r/>
            <w:r>
              <w:rPr>
                <w:b w:val="0"/>
                <w:color w:val="172033"/>
                <w:sz w:val="15"/>
              </w:rPr>
              <w:t>Metrics</w:t>
            </w:r>
          </w:p>
        </w:tc>
        <w:tc>
          <w:tcPr>
            <w:tcW w:type="dxa" w:w="5083"/>
            <w:vAlign w:val="center"/>
          </w:tcPr>
          <w:p>
            <w:pPr>
              <w:spacing w:after="20"/>
            </w:pPr>
            <w:r/>
            <w:r>
              <w:rPr>
                <w:b w:val="0"/>
                <w:color w:val="172033"/>
                <w:sz w:val="15"/>
              </w:rPr>
              <w:t>request rate/error/latency, job queue depth, cache hit rate, DB pool, model inference latency</w:t>
            </w:r>
          </w:p>
        </w:tc>
      </w:tr>
      <w:tr>
        <w:tc>
          <w:tcPr>
            <w:tcW w:type="dxa" w:w="5083"/>
            <w:vAlign w:val="center"/>
            <w:shd w:fill="F7F9FC"/>
          </w:tcPr>
          <w:p>
            <w:pPr>
              <w:spacing w:after="20"/>
            </w:pPr>
            <w:r/>
            <w:r>
              <w:rPr>
                <w:b w:val="0"/>
                <w:color w:val="172033"/>
                <w:sz w:val="15"/>
              </w:rPr>
              <w:t>Logs</w:t>
            </w:r>
          </w:p>
        </w:tc>
        <w:tc>
          <w:tcPr>
            <w:tcW w:type="dxa" w:w="5083"/>
            <w:vAlign w:val="center"/>
            <w:shd w:fill="F7F9FC"/>
          </w:tcPr>
          <w:p>
            <w:pPr>
              <w:spacing w:after="20"/>
            </w:pPr>
            <w:r/>
            <w:r>
              <w:rPr>
                <w:b w:val="0"/>
                <w:color w:val="172033"/>
                <w:sz w:val="15"/>
              </w:rPr>
              <w:t>structured JSON, correlation ID, actor, endpoint, safe error code</w:t>
            </w:r>
          </w:p>
        </w:tc>
      </w:tr>
      <w:tr>
        <w:tc>
          <w:tcPr>
            <w:tcW w:type="dxa" w:w="5083"/>
            <w:vAlign w:val="center"/>
          </w:tcPr>
          <w:p>
            <w:pPr>
              <w:spacing w:after="20"/>
            </w:pPr>
            <w:r/>
            <w:r>
              <w:rPr>
                <w:b w:val="0"/>
                <w:color w:val="172033"/>
                <w:sz w:val="15"/>
              </w:rPr>
              <w:t>Traces</w:t>
            </w:r>
          </w:p>
        </w:tc>
        <w:tc>
          <w:tcPr>
            <w:tcW w:type="dxa" w:w="5083"/>
            <w:vAlign w:val="center"/>
          </w:tcPr>
          <w:p>
            <w:pPr>
              <w:spacing w:after="20"/>
            </w:pPr>
            <w:r/>
            <w:r>
              <w:rPr>
                <w:b w:val="0"/>
                <w:color w:val="172033"/>
                <w:sz w:val="15"/>
              </w:rPr>
              <w:t>frontend/API → domain service → model → DB spans</w:t>
            </w:r>
          </w:p>
        </w:tc>
      </w:tr>
      <w:tr>
        <w:tc>
          <w:tcPr>
            <w:tcW w:type="dxa" w:w="5083"/>
            <w:vAlign w:val="center"/>
            <w:shd w:fill="F7F9FC"/>
          </w:tcPr>
          <w:p>
            <w:pPr>
              <w:spacing w:after="20"/>
            </w:pPr>
            <w:r/>
            <w:r>
              <w:rPr>
                <w:b w:val="0"/>
                <w:color w:val="172033"/>
                <w:sz w:val="15"/>
              </w:rPr>
              <w:t>Model monitoring</w:t>
            </w:r>
          </w:p>
        </w:tc>
        <w:tc>
          <w:tcPr>
            <w:tcW w:type="dxa" w:w="5083"/>
            <w:vAlign w:val="center"/>
            <w:shd w:fill="F7F9FC"/>
          </w:tcPr>
          <w:p>
            <w:pPr>
              <w:spacing w:after="20"/>
            </w:pPr>
            <w:r/>
            <w:r>
              <w:rPr>
                <w:b w:val="0"/>
                <w:color w:val="172033"/>
                <w:sz w:val="15"/>
              </w:rPr>
              <w:t>input drift, output drift, calibration, residual error, cohort performance</w:t>
            </w:r>
          </w:p>
        </w:tc>
      </w:tr>
      <w:tr>
        <w:tc>
          <w:tcPr>
            <w:tcW w:type="dxa" w:w="5083"/>
            <w:vAlign w:val="center"/>
          </w:tcPr>
          <w:p>
            <w:pPr>
              <w:spacing w:after="20"/>
            </w:pPr>
            <w:r/>
            <w:r>
              <w:rPr>
                <w:b w:val="0"/>
                <w:color w:val="172033"/>
                <w:sz w:val="15"/>
              </w:rPr>
              <w:t>Data quality</w:t>
            </w:r>
          </w:p>
        </w:tc>
        <w:tc>
          <w:tcPr>
            <w:tcW w:type="dxa" w:w="5083"/>
            <w:vAlign w:val="center"/>
          </w:tcPr>
          <w:p>
            <w:pPr>
              <w:spacing w:after="20"/>
            </w:pPr>
            <w:r/>
            <w:r>
              <w:rPr>
                <w:b w:val="0"/>
                <w:color w:val="172033"/>
                <w:sz w:val="15"/>
              </w:rPr>
              <w:t>freshness, missingness, schema drift, outliers, duplicate rate</w:t>
            </w:r>
          </w:p>
        </w:tc>
      </w:tr>
      <w:tr>
        <w:tc>
          <w:tcPr>
            <w:tcW w:type="dxa" w:w="5083"/>
            <w:vAlign w:val="center"/>
            <w:shd w:fill="F7F9FC"/>
          </w:tcPr>
          <w:p>
            <w:pPr>
              <w:spacing w:after="20"/>
            </w:pPr>
            <w:r/>
            <w:r>
              <w:rPr>
                <w:b w:val="0"/>
                <w:color w:val="172033"/>
                <w:sz w:val="15"/>
              </w:rPr>
              <w:t>Business monitoring</w:t>
            </w:r>
          </w:p>
        </w:tc>
        <w:tc>
          <w:tcPr>
            <w:tcW w:type="dxa" w:w="5083"/>
            <w:vAlign w:val="center"/>
            <w:shd w:fill="F7F9FC"/>
          </w:tcPr>
          <w:p>
            <w:pPr>
              <w:spacing w:after="20"/>
            </w:pPr>
            <w:r/>
            <w:r>
              <w:rPr>
                <w:b w:val="0"/>
                <w:color w:val="172033"/>
                <w:sz w:val="15"/>
              </w:rPr>
              <w:t>alert acknowledgement, prevented shortage proxy, retention intervention outcome, recommendation uptake</w:t>
            </w:r>
          </w:p>
        </w:tc>
      </w:tr>
    </w:tbl>
    <w:p>
      <w:pPr>
        <w:spacing w:after="20"/>
      </w:pPr>
    </w:p>
    <w:p>
      <w:pPr>
        <w:pStyle w:val="Heading1"/>
      </w:pPr>
      <w:r>
        <w:t>13.2 Model Lifecycle</w:t>
      </w:r>
    </w:p>
    <w:p>
      <w:r>
        <w:t>Dataset snapshot → validation → feature version → training → offline evaluation → fairness/explainability review → registry → approval → shadow/challenger test → activation → monitoring → feedback → retraining proposal → rollback if degraded.</w:t>
      </w:r>
    </w:p>
    <w:p>
      <w:pPr>
        <w:pStyle w:val="Heading1"/>
      </w:pPr>
      <w:r>
        <w:t>13.3 Reliability Patterns</w:t>
      </w:r>
    </w:p>
    <w:p>
      <w:pPr>
        <w:pStyle w:val="ListBullet"/>
        <w:spacing w:after="40"/>
      </w:pPr>
      <w:r>
        <w:t>Health/readiness endpoints</w:t>
      </w:r>
    </w:p>
    <w:p>
      <w:pPr>
        <w:pStyle w:val="ListBullet"/>
        <w:spacing w:after="40"/>
      </w:pPr>
      <w:r>
        <w:t>Timeouts and bounded retries with jitter</w:t>
      </w:r>
    </w:p>
    <w:p>
      <w:pPr>
        <w:pStyle w:val="ListBullet"/>
        <w:spacing w:after="40"/>
      </w:pPr>
      <w:r>
        <w:t>Circuit breaker for optional LLM explanation</w:t>
      </w:r>
    </w:p>
    <w:p>
      <w:pPr>
        <w:pStyle w:val="ListBullet"/>
        <w:spacing w:after="40"/>
      </w:pPr>
      <w:r>
        <w:t>Redis cache for stable aggregate views</w:t>
      </w:r>
    </w:p>
    <w:p>
      <w:pPr>
        <w:pStyle w:val="ListBullet"/>
        <w:spacing w:after="40"/>
      </w:pPr>
      <w:r>
        <w:t>Queue for batch forecasts/reports</w:t>
      </w:r>
    </w:p>
    <w:p>
      <w:pPr>
        <w:pStyle w:val="ListBullet"/>
        <w:spacing w:after="40"/>
      </w:pPr>
      <w:r>
        <w:t>Database migration rollback plan</w:t>
      </w:r>
    </w:p>
    <w:p>
      <w:pPr>
        <w:pStyle w:val="ListBullet"/>
        <w:spacing w:after="40"/>
      </w:pPr>
      <w:r>
        <w:t>Last-known-good prediction display with stale timestamp when safe</w:t>
      </w:r>
    </w:p>
    <w:p>
      <w:pPr>
        <w:pStyle w:val="ListBullet"/>
        <w:spacing w:after="40"/>
      </w:pPr>
      <w:r>
        <w:t>Feature flags for risky/experimental UI and models</w:t>
      </w:r>
    </w:p>
    <w:p>
      <w:pPr>
        <w:pStyle w:val="Title"/>
      </w:pPr>
      <w:r>
        <w:t>14. Testing &amp; Validation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Test layer</w:t>
            </w:r>
          </w:p>
        </w:tc>
        <w:tc>
          <w:tcPr>
            <w:tcW w:type="dxa" w:w="5083"/>
            <w:vAlign w:val="center"/>
            <w:shd w:fill="10233F"/>
          </w:tcPr>
          <w:p>
            <w:pPr>
              <w:spacing w:after="20"/>
            </w:pPr>
            <w:r/>
            <w:r>
              <w:rPr>
                <w:b/>
                <w:color w:val="FFFFFF"/>
                <w:sz w:val="16"/>
              </w:rPr>
              <w:t>Required tests</w:t>
            </w:r>
          </w:p>
        </w:tc>
      </w:tr>
      <w:tr>
        <w:tc>
          <w:tcPr>
            <w:tcW w:type="dxa" w:w="5083"/>
            <w:vAlign w:val="center"/>
          </w:tcPr>
          <w:p>
            <w:pPr>
              <w:spacing w:after="20"/>
            </w:pPr>
            <w:r/>
            <w:r>
              <w:rPr>
                <w:b w:val="0"/>
                <w:color w:val="172033"/>
                <w:sz w:val="15"/>
              </w:rPr>
              <w:t>Unit</w:t>
            </w:r>
          </w:p>
        </w:tc>
        <w:tc>
          <w:tcPr>
            <w:tcW w:type="dxa" w:w="5083"/>
            <w:vAlign w:val="center"/>
          </w:tcPr>
          <w:p>
            <w:pPr>
              <w:spacing w:after="20"/>
            </w:pPr>
            <w:r/>
            <w:r>
              <w:rPr>
                <w:b w:val="0"/>
                <w:color w:val="172033"/>
                <w:sz w:val="15"/>
              </w:rPr>
              <w:t>Feature calculations, thresholds, authorization predicates, serializers, recommendation rules.</w:t>
            </w:r>
          </w:p>
        </w:tc>
      </w:tr>
      <w:tr>
        <w:tc>
          <w:tcPr>
            <w:tcW w:type="dxa" w:w="5083"/>
            <w:vAlign w:val="center"/>
            <w:shd w:fill="F7F9FC"/>
          </w:tcPr>
          <w:p>
            <w:pPr>
              <w:spacing w:after="20"/>
            </w:pPr>
            <w:r/>
            <w:r>
              <w:rPr>
                <w:b w:val="0"/>
                <w:color w:val="172033"/>
                <w:sz w:val="15"/>
              </w:rPr>
              <w:t>API integration</w:t>
            </w:r>
          </w:p>
        </w:tc>
        <w:tc>
          <w:tcPr>
            <w:tcW w:type="dxa" w:w="5083"/>
            <w:vAlign w:val="center"/>
            <w:shd w:fill="F7F9FC"/>
          </w:tcPr>
          <w:p>
            <w:pPr>
              <w:spacing w:after="20"/>
            </w:pPr>
            <w:r/>
            <w:r>
              <w:rPr>
                <w:b w:val="0"/>
                <w:color w:val="172033"/>
                <w:sz w:val="15"/>
              </w:rPr>
              <w:t>Auth, object-level permissions, validation, pagination, idempotency, error envelope.</w:t>
            </w:r>
          </w:p>
        </w:tc>
      </w:tr>
      <w:tr>
        <w:tc>
          <w:tcPr>
            <w:tcW w:type="dxa" w:w="5083"/>
            <w:vAlign w:val="center"/>
          </w:tcPr>
          <w:p>
            <w:pPr>
              <w:spacing w:after="20"/>
            </w:pPr>
            <w:r/>
            <w:r>
              <w:rPr>
                <w:b w:val="0"/>
                <w:color w:val="172033"/>
                <w:sz w:val="15"/>
              </w:rPr>
              <w:t>ML</w:t>
            </w:r>
          </w:p>
        </w:tc>
        <w:tc>
          <w:tcPr>
            <w:tcW w:type="dxa" w:w="5083"/>
            <w:vAlign w:val="center"/>
          </w:tcPr>
          <w:p>
            <w:pPr>
              <w:spacing w:after="20"/>
            </w:pPr>
            <w:r/>
            <w:r>
              <w:rPr>
                <w:b w:val="0"/>
                <w:color w:val="172033"/>
                <w:sz w:val="15"/>
              </w:rPr>
              <w:t>Time-split backtests, leakage tests, calibration, threshold sensitivity, injected anomaly tests.</w:t>
            </w:r>
          </w:p>
        </w:tc>
      </w:tr>
      <w:tr>
        <w:tc>
          <w:tcPr>
            <w:tcW w:type="dxa" w:w="5083"/>
            <w:vAlign w:val="center"/>
            <w:shd w:fill="F7F9FC"/>
          </w:tcPr>
          <w:p>
            <w:pPr>
              <w:spacing w:after="20"/>
            </w:pPr>
            <w:r/>
            <w:r>
              <w:rPr>
                <w:b w:val="0"/>
                <w:color w:val="172033"/>
                <w:sz w:val="15"/>
              </w:rPr>
              <w:t>Fairness</w:t>
            </w:r>
          </w:p>
        </w:tc>
        <w:tc>
          <w:tcPr>
            <w:tcW w:type="dxa" w:w="5083"/>
            <w:vAlign w:val="center"/>
            <w:shd w:fill="F7F9FC"/>
          </w:tcPr>
          <w:p>
            <w:pPr>
              <w:spacing w:after="20"/>
            </w:pPr>
            <w:r/>
            <w:r>
              <w:rPr>
                <w:b w:val="0"/>
                <w:color w:val="172033"/>
                <w:sz w:val="15"/>
              </w:rPr>
              <w:t>Compare error/selection metrics across relevant non-sensitive operational cohorts such as region/category; investigate material gaps.</w:t>
            </w:r>
          </w:p>
        </w:tc>
      </w:tr>
      <w:tr>
        <w:tc>
          <w:tcPr>
            <w:tcW w:type="dxa" w:w="5083"/>
            <w:vAlign w:val="center"/>
          </w:tcPr>
          <w:p>
            <w:pPr>
              <w:spacing w:after="20"/>
            </w:pPr>
            <w:r/>
            <w:r>
              <w:rPr>
                <w:b w:val="0"/>
                <w:color w:val="172033"/>
                <w:sz w:val="15"/>
              </w:rPr>
              <w:t>AI security</w:t>
            </w:r>
          </w:p>
        </w:tc>
        <w:tc>
          <w:tcPr>
            <w:tcW w:type="dxa" w:w="5083"/>
            <w:vAlign w:val="center"/>
          </w:tcPr>
          <w:p>
            <w:pPr>
              <w:spacing w:after="20"/>
            </w:pPr>
            <w:r/>
            <w:r>
              <w:rPr>
                <w:b w:val="0"/>
                <w:color w:val="172033"/>
                <w:sz w:val="15"/>
              </w:rPr>
              <w:t>Prompt injection corpus, jailbreak attempts, poisoned rows, extreme inputs, explanation hallucination checks.</w:t>
            </w:r>
          </w:p>
        </w:tc>
      </w:tr>
      <w:tr>
        <w:tc>
          <w:tcPr>
            <w:tcW w:type="dxa" w:w="5083"/>
            <w:vAlign w:val="center"/>
            <w:shd w:fill="F7F9FC"/>
          </w:tcPr>
          <w:p>
            <w:pPr>
              <w:spacing w:after="20"/>
            </w:pPr>
            <w:r/>
            <w:r>
              <w:rPr>
                <w:b w:val="0"/>
                <w:color w:val="172033"/>
                <w:sz w:val="15"/>
              </w:rPr>
              <w:t>Security</w:t>
            </w:r>
          </w:p>
        </w:tc>
        <w:tc>
          <w:tcPr>
            <w:tcW w:type="dxa" w:w="5083"/>
            <w:vAlign w:val="center"/>
            <w:shd w:fill="F7F9FC"/>
          </w:tcPr>
          <w:p>
            <w:pPr>
              <w:spacing w:after="20"/>
            </w:pPr>
            <w:r/>
            <w:r>
              <w:rPr>
                <w:b w:val="0"/>
                <w:color w:val="172033"/>
                <w:sz w:val="15"/>
              </w:rPr>
              <w:t>SAST/dependency/secret scan; OWASP-style auth/access-control tests.</w:t>
            </w:r>
          </w:p>
        </w:tc>
      </w:tr>
      <w:tr>
        <w:tc>
          <w:tcPr>
            <w:tcW w:type="dxa" w:w="5083"/>
            <w:vAlign w:val="center"/>
          </w:tcPr>
          <w:p>
            <w:pPr>
              <w:spacing w:after="20"/>
            </w:pPr>
            <w:r/>
            <w:r>
              <w:rPr>
                <w:b w:val="0"/>
                <w:color w:val="172033"/>
                <w:sz w:val="15"/>
              </w:rPr>
              <w:t>E2E</w:t>
            </w:r>
          </w:p>
        </w:tc>
        <w:tc>
          <w:tcPr>
            <w:tcW w:type="dxa" w:w="5083"/>
            <w:vAlign w:val="center"/>
          </w:tcPr>
          <w:p>
            <w:pPr>
              <w:spacing w:after="20"/>
            </w:pPr>
            <w:r/>
            <w:r>
              <w:rPr>
                <w:b w:val="0"/>
                <w:color w:val="172033"/>
                <w:sz w:val="15"/>
              </w:rPr>
              <w:t>Login → insight → explanation → intervention → feedback; all key personas.</w:t>
            </w:r>
          </w:p>
        </w:tc>
      </w:tr>
      <w:tr>
        <w:tc>
          <w:tcPr>
            <w:tcW w:type="dxa" w:w="5083"/>
            <w:vAlign w:val="center"/>
            <w:shd w:fill="F7F9FC"/>
          </w:tcPr>
          <w:p>
            <w:pPr>
              <w:spacing w:after="20"/>
            </w:pPr>
            <w:r/>
            <w:r>
              <w:rPr>
                <w:b w:val="0"/>
                <w:color w:val="172033"/>
                <w:sz w:val="15"/>
              </w:rPr>
              <w:t>Performance</w:t>
            </w:r>
          </w:p>
        </w:tc>
        <w:tc>
          <w:tcPr>
            <w:tcW w:type="dxa" w:w="5083"/>
            <w:vAlign w:val="center"/>
            <w:shd w:fill="F7F9FC"/>
          </w:tcPr>
          <w:p>
            <w:pPr>
              <w:spacing w:after="20"/>
            </w:pPr>
            <w:r/>
            <w:r>
              <w:rPr>
                <w:b w:val="0"/>
                <w:color w:val="172033"/>
                <w:sz w:val="15"/>
              </w:rPr>
              <w:t>p95 latency, concurrent dashboard users, batch job throughput, large-map query.</w:t>
            </w:r>
          </w:p>
        </w:tc>
      </w:tr>
      <w:tr>
        <w:tc>
          <w:tcPr>
            <w:tcW w:type="dxa" w:w="5083"/>
            <w:vAlign w:val="center"/>
          </w:tcPr>
          <w:p>
            <w:pPr>
              <w:spacing w:after="20"/>
            </w:pPr>
            <w:r/>
            <w:r>
              <w:rPr>
                <w:b w:val="0"/>
                <w:color w:val="172033"/>
                <w:sz w:val="15"/>
              </w:rPr>
              <w:t>Accessibility</w:t>
            </w:r>
          </w:p>
        </w:tc>
        <w:tc>
          <w:tcPr>
            <w:tcW w:type="dxa" w:w="5083"/>
            <w:vAlign w:val="center"/>
          </w:tcPr>
          <w:p>
            <w:pPr>
              <w:spacing w:after="20"/>
            </w:pPr>
            <w:r/>
            <w:r>
              <w:rPr>
                <w:b w:val="0"/>
                <w:color w:val="172033"/>
                <w:sz w:val="15"/>
              </w:rPr>
              <w:t>Keyboard, focus, contrast, reduced motion, semantic headings, screen-reader labels.</w:t>
            </w:r>
          </w:p>
        </w:tc>
      </w:tr>
      <w:tr>
        <w:tc>
          <w:tcPr>
            <w:tcW w:type="dxa" w:w="5083"/>
            <w:vAlign w:val="center"/>
            <w:shd w:fill="F7F9FC"/>
          </w:tcPr>
          <w:p>
            <w:pPr>
              <w:spacing w:after="20"/>
            </w:pPr>
            <w:r/>
            <w:r>
              <w:rPr>
                <w:b w:val="0"/>
                <w:color w:val="172033"/>
                <w:sz w:val="15"/>
              </w:rPr>
              <w:t>Recovery</w:t>
            </w:r>
          </w:p>
        </w:tc>
        <w:tc>
          <w:tcPr>
            <w:tcW w:type="dxa" w:w="5083"/>
            <w:vAlign w:val="center"/>
            <w:shd w:fill="F7F9FC"/>
          </w:tcPr>
          <w:p>
            <w:pPr>
              <w:spacing w:after="20"/>
            </w:pPr>
            <w:r/>
            <w:r>
              <w:rPr>
                <w:b w:val="0"/>
                <w:color w:val="172033"/>
                <w:sz w:val="15"/>
              </w:rPr>
              <w:t>DB backup/restore rehearsal and model rollback rehearsal for production readiness.</w:t>
            </w:r>
          </w:p>
        </w:tc>
      </w:tr>
    </w:tbl>
    <w:p>
      <w:pPr>
        <w:spacing w:after="20"/>
      </w:pPr>
    </w:p>
    <w:p>
      <w:pPr>
        <w:pStyle w:val="Heading1"/>
      </w:pPr>
      <w:r>
        <w:t>14.1 ML Acceptance Examples</w:t>
      </w:r>
    </w:p>
    <w:p>
      <w:pPr>
        <w:pStyle w:val="ListBullet"/>
        <w:spacing w:after="40"/>
      </w:pPr>
      <w:r>
        <w:t>Forecast model SHALL outperform a naive seasonal baseline on the untouched synthetic test period using the selected primary error metric.</w:t>
      </w:r>
    </w:p>
    <w:p>
      <w:pPr>
        <w:pStyle w:val="ListBullet"/>
        <w:spacing w:after="40"/>
      </w:pPr>
      <w:r>
        <w:t>Churn model SHALL report PR-AUC/recall@K and calibration; threshold SHALL be justified by intervention capacity, not accuracy alone.</w:t>
      </w:r>
    </w:p>
    <w:p>
      <w:pPr>
        <w:pStyle w:val="ListBullet"/>
        <w:spacing w:after="40"/>
      </w:pPr>
      <w:r>
        <w:t>Liquidity alert SHALL measure shortage-event recall and false-alert burden; confidence bands SHALL be visible.</w:t>
      </w:r>
    </w:p>
    <w:p>
      <w:pPr>
        <w:pStyle w:val="ListBullet"/>
        <w:spacing w:after="40"/>
      </w:pPr>
      <w:r>
        <w:t>Anomaly detector SHALL be tested against known injected anomalies and normal seasonal spikes to demonstrate false-positive control.</w:t>
      </w:r>
    </w:p>
    <w:p>
      <w:pPr>
        <w:pStyle w:val="ListBullet"/>
        <w:spacing w:after="40"/>
      </w:pPr>
      <w:r>
        <w:t>Location ranking SHALL expose its factor weights/features and pass sensitivity tests when one feature is perturbed.</w:t>
      </w:r>
    </w:p>
    <w:p>
      <w:pPr>
        <w:pStyle w:val="Title"/>
      </w:pPr>
      <w:r>
        <w:t>15. Deployment &amp; DevOps</w:t>
      </w:r>
    </w:p>
    <w:p>
      <w:pPr>
        <w:pStyle w:val="Heading1"/>
      </w:pPr>
      <w:r>
        <w:t>15.1 Environments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Environment</w:t>
            </w:r>
          </w:p>
        </w:tc>
        <w:tc>
          <w:tcPr>
            <w:tcW w:type="dxa" w:w="5083"/>
            <w:vAlign w:val="center"/>
            <w:shd w:fill="10233F"/>
          </w:tcPr>
          <w:p>
            <w:pPr>
              <w:spacing w:after="20"/>
            </w:pPr>
            <w:r/>
            <w:r>
              <w:rPr>
                <w:b/>
                <w:color w:val="FFFFFF"/>
                <w:sz w:val="16"/>
              </w:rPr>
              <w:t>Purpose</w:t>
            </w:r>
          </w:p>
        </w:tc>
      </w:tr>
      <w:tr>
        <w:tc>
          <w:tcPr>
            <w:tcW w:type="dxa" w:w="5083"/>
            <w:vAlign w:val="center"/>
          </w:tcPr>
          <w:p>
            <w:pPr>
              <w:spacing w:after="20"/>
            </w:pPr>
            <w:r/>
            <w:r>
              <w:rPr>
                <w:b w:val="0"/>
                <w:color w:val="172033"/>
                <w:sz w:val="15"/>
              </w:rPr>
              <w:t>Local</w:t>
            </w:r>
          </w:p>
        </w:tc>
        <w:tc>
          <w:tcPr>
            <w:tcW w:type="dxa" w:w="5083"/>
            <w:vAlign w:val="center"/>
          </w:tcPr>
          <w:p>
            <w:pPr>
              <w:spacing w:after="20"/>
            </w:pPr>
            <w:r/>
            <w:r>
              <w:rPr>
                <w:b w:val="0"/>
                <w:color w:val="172033"/>
                <w:sz w:val="15"/>
              </w:rPr>
              <w:t>Docker Compose; seeded synthetic data; developer model artifacts.</w:t>
            </w:r>
          </w:p>
        </w:tc>
      </w:tr>
      <w:tr>
        <w:tc>
          <w:tcPr>
            <w:tcW w:type="dxa" w:w="5083"/>
            <w:vAlign w:val="center"/>
            <w:shd w:fill="F7F9FC"/>
          </w:tcPr>
          <w:p>
            <w:pPr>
              <w:spacing w:after="20"/>
            </w:pPr>
            <w:r/>
            <w:r>
              <w:rPr>
                <w:b w:val="0"/>
                <w:color w:val="172033"/>
                <w:sz w:val="15"/>
              </w:rPr>
              <w:t>Preview</w:t>
            </w:r>
          </w:p>
        </w:tc>
        <w:tc>
          <w:tcPr>
            <w:tcW w:type="dxa" w:w="5083"/>
            <w:vAlign w:val="center"/>
            <w:shd w:fill="F7F9FC"/>
          </w:tcPr>
          <w:p>
            <w:pPr>
              <w:spacing w:after="20"/>
            </w:pPr>
            <w:r/>
            <w:r>
              <w:rPr>
                <w:b w:val="0"/>
                <w:color w:val="172033"/>
                <w:sz w:val="15"/>
              </w:rPr>
              <w:t>Per-branch frontend/API preview where feasible; no secrets in client.</w:t>
            </w:r>
          </w:p>
        </w:tc>
      </w:tr>
      <w:tr>
        <w:tc>
          <w:tcPr>
            <w:tcW w:type="dxa" w:w="5083"/>
            <w:vAlign w:val="center"/>
          </w:tcPr>
          <w:p>
            <w:pPr>
              <w:spacing w:after="20"/>
            </w:pPr>
            <w:r/>
            <w:r>
              <w:rPr>
                <w:b w:val="0"/>
                <w:color w:val="172033"/>
                <w:sz w:val="15"/>
              </w:rPr>
              <w:t>Staging/Demo</w:t>
            </w:r>
          </w:p>
        </w:tc>
        <w:tc>
          <w:tcPr>
            <w:tcW w:type="dxa" w:w="5083"/>
            <w:vAlign w:val="center"/>
          </w:tcPr>
          <w:p>
            <w:pPr>
              <w:spacing w:after="20"/>
            </w:pPr>
            <w:r/>
            <w:r>
              <w:rPr>
                <w:b w:val="0"/>
                <w:color w:val="172033"/>
                <w:sz w:val="15"/>
              </w:rPr>
              <w:t>Competition-grade stable environment; pre-warmed caches; demo accounts; observability enabled.</w:t>
            </w:r>
          </w:p>
        </w:tc>
      </w:tr>
      <w:tr>
        <w:tc>
          <w:tcPr>
            <w:tcW w:type="dxa" w:w="5083"/>
            <w:vAlign w:val="center"/>
            <w:shd w:fill="F7F9FC"/>
          </w:tcPr>
          <w:p>
            <w:pPr>
              <w:spacing w:after="20"/>
            </w:pPr>
            <w:r/>
            <w:r>
              <w:rPr>
                <w:b w:val="0"/>
                <w:color w:val="172033"/>
                <w:sz w:val="15"/>
              </w:rPr>
              <w:t>Production future</w:t>
            </w:r>
          </w:p>
        </w:tc>
        <w:tc>
          <w:tcPr>
            <w:tcW w:type="dxa" w:w="5083"/>
            <w:vAlign w:val="center"/>
            <w:shd w:fill="F7F9FC"/>
          </w:tcPr>
          <w:p>
            <w:pPr>
              <w:spacing w:after="20"/>
            </w:pPr>
            <w:r/>
            <w:r>
              <w:rPr>
                <w:b w:val="0"/>
                <w:color w:val="172033"/>
                <w:sz w:val="15"/>
              </w:rPr>
              <w:t>Managed DB, secret manager, WAF/API gateway, autoscaling, backups, SSO/MFA, governed data access.</w:t>
            </w:r>
          </w:p>
        </w:tc>
      </w:tr>
    </w:tbl>
    <w:p>
      <w:pPr>
        <w:spacing w:after="20"/>
      </w:pPr>
    </w:p>
    <w:p>
      <w:pPr>
        <w:pStyle w:val="Heading1"/>
      </w:pPr>
      <w:r>
        <w:t>15.2 CI/CD Gates</w:t>
      </w:r>
    </w:p>
    <w:p>
      <w:r>
        <w:t>Lint/type-check → unit tests → security/secret/dependency scan → build containers → API contract tests → ML smoke tests → E2E smoke → deploy staging → health checks → manual promotion for demo/production.</w:t>
      </w:r>
    </w:p>
    <w:p>
      <w:pPr>
        <w:pStyle w:val="Heading1"/>
      </w:pPr>
      <w:r>
        <w:t>15.3 Demo Resilience</w:t>
      </w:r>
    </w:p>
    <w:p>
      <w:pPr>
        <w:pStyle w:val="ListBullet"/>
        <w:spacing w:after="40"/>
      </w:pPr>
      <w:r>
        <w:t>Ship a deterministic demo dataset and seed script.</w:t>
      </w:r>
    </w:p>
    <w:p>
      <w:pPr>
        <w:pStyle w:val="ListBullet"/>
        <w:spacing w:after="40"/>
      </w:pPr>
      <w:r>
        <w:t>Precompute representative forecasts and keep last-known-good results.</w:t>
      </w:r>
    </w:p>
    <w:p>
      <w:pPr>
        <w:pStyle w:val="ListBullet"/>
        <w:spacing w:after="40"/>
      </w:pPr>
      <w:r>
        <w:t>Provide graceful offline/demo fallback for non-critical LLM explanation.</w:t>
      </w:r>
    </w:p>
    <w:p>
      <w:pPr>
        <w:pStyle w:val="ListBullet"/>
        <w:spacing w:after="40"/>
      </w:pPr>
      <w:r>
        <w:t>Create judge/demo read-only role with curated navigation.</w:t>
      </w:r>
    </w:p>
    <w:p>
      <w:pPr>
        <w:pStyle w:val="ListBullet"/>
        <w:spacing w:after="40"/>
      </w:pPr>
      <w:r>
        <w:t>Maintain a one-command local Docker startup as backup.</w:t>
      </w:r>
    </w:p>
    <w:p>
      <w:pPr>
        <w:pStyle w:val="Title"/>
      </w:pPr>
      <w:r>
        <w:t>16. Acceptance Criteria &amp; Traceability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Hackathon expectation</w:t>
            </w:r>
          </w:p>
        </w:tc>
        <w:tc>
          <w:tcPr>
            <w:tcW w:type="dxa" w:w="5083"/>
            <w:vAlign w:val="center"/>
            <w:shd w:fill="10233F"/>
          </w:tcPr>
          <w:p>
            <w:pPr>
              <w:spacing w:after="20"/>
            </w:pPr>
            <w:r/>
            <w:r>
              <w:rPr>
                <w:b/>
                <w:color w:val="FFFFFF"/>
                <w:sz w:val="16"/>
              </w:rPr>
              <w:t>SRS evidence / acceptance</w:t>
            </w:r>
          </w:p>
        </w:tc>
      </w:tr>
      <w:tr>
        <w:tc>
          <w:tcPr>
            <w:tcW w:type="dxa" w:w="5083"/>
            <w:vAlign w:val="center"/>
          </w:tcPr>
          <w:p>
            <w:pPr>
              <w:spacing w:after="20"/>
            </w:pPr>
            <w:r/>
            <w:r>
              <w:rPr>
                <w:b w:val="0"/>
                <w:color w:val="172033"/>
                <w:sz w:val="15"/>
              </w:rPr>
              <w:t>Real problem</w:t>
            </w:r>
          </w:p>
        </w:tc>
        <w:tc>
          <w:tcPr>
            <w:tcW w:type="dxa" w:w="5083"/>
            <w:vAlign w:val="center"/>
          </w:tcPr>
          <w:p>
            <w:pPr>
              <w:spacing w:after="20"/>
            </w:pPr>
            <w:r/>
            <w:r>
              <w:rPr>
                <w:b w:val="0"/>
                <w:color w:val="172033"/>
                <w:sz w:val="15"/>
              </w:rPr>
              <w:t>Problem statement and measurable service/growth/liquidity consequences.</w:t>
            </w:r>
          </w:p>
        </w:tc>
      </w:tr>
      <w:tr>
        <w:tc>
          <w:tcPr>
            <w:tcW w:type="dxa" w:w="5083"/>
            <w:vAlign w:val="center"/>
            <w:shd w:fill="F7F9FC"/>
          </w:tcPr>
          <w:p>
            <w:pPr>
              <w:spacing w:after="20"/>
            </w:pPr>
            <w:r/>
            <w:r>
              <w:rPr>
                <w:b w:val="0"/>
                <w:color w:val="172033"/>
                <w:sz w:val="15"/>
              </w:rPr>
              <w:t>Meaningful AI</w:t>
            </w:r>
          </w:p>
        </w:tc>
        <w:tc>
          <w:tcPr>
            <w:tcW w:type="dxa" w:w="5083"/>
            <w:vAlign w:val="center"/>
            <w:shd w:fill="F7F9FC"/>
          </w:tcPr>
          <w:p>
            <w:pPr>
              <w:spacing w:after="20"/>
            </w:pPr>
            <w:r/>
            <w:r>
              <w:rPr>
                <w:b w:val="0"/>
                <w:color w:val="172033"/>
                <w:sz w:val="15"/>
              </w:rPr>
              <w:t>Seven Track 05 capabilities mapped to explicit ML tasks and metrics.</w:t>
            </w:r>
          </w:p>
        </w:tc>
      </w:tr>
      <w:tr>
        <w:tc>
          <w:tcPr>
            <w:tcW w:type="dxa" w:w="5083"/>
            <w:vAlign w:val="center"/>
          </w:tcPr>
          <w:p>
            <w:pPr>
              <w:spacing w:after="20"/>
            </w:pPr>
            <w:r/>
            <w:r>
              <w:rPr>
                <w:b w:val="0"/>
                <w:color w:val="172033"/>
                <w:sz w:val="15"/>
              </w:rPr>
              <w:t>Functional prototype</w:t>
            </w:r>
          </w:p>
        </w:tc>
        <w:tc>
          <w:tcPr>
            <w:tcW w:type="dxa" w:w="5083"/>
            <w:vAlign w:val="center"/>
          </w:tcPr>
          <w:p>
            <w:pPr>
              <w:spacing w:after="20"/>
            </w:pPr>
            <w:r/>
            <w:r>
              <w:rPr>
                <w:b w:val="0"/>
                <w:color w:val="172033"/>
                <w:sz w:val="15"/>
              </w:rPr>
              <w:t>Data → model → API → responsive UI → action → feedback demonstrated end-to-end.</w:t>
            </w:r>
          </w:p>
        </w:tc>
      </w:tr>
      <w:tr>
        <w:tc>
          <w:tcPr>
            <w:tcW w:type="dxa" w:w="5083"/>
            <w:vAlign w:val="center"/>
            <w:shd w:fill="F7F9FC"/>
          </w:tcPr>
          <w:p>
            <w:pPr>
              <w:spacing w:after="20"/>
            </w:pPr>
            <w:r/>
            <w:r>
              <w:rPr>
                <w:b w:val="0"/>
                <w:color w:val="172033"/>
                <w:sz w:val="15"/>
              </w:rPr>
              <w:t>Synthetic/public data</w:t>
            </w:r>
          </w:p>
        </w:tc>
        <w:tc>
          <w:tcPr>
            <w:tcW w:type="dxa" w:w="5083"/>
            <w:vAlign w:val="center"/>
            <w:shd w:fill="F7F9FC"/>
          </w:tcPr>
          <w:p>
            <w:pPr>
              <w:spacing w:after="20"/>
            </w:pPr>
            <w:r/>
            <w:r>
              <w:rPr>
                <w:b w:val="0"/>
                <w:color w:val="172033"/>
                <w:sz w:val="15"/>
              </w:rPr>
              <w:t>Data generator, documented assumptions, no real PII, untouched test set.</w:t>
            </w:r>
          </w:p>
        </w:tc>
      </w:tr>
      <w:tr>
        <w:tc>
          <w:tcPr>
            <w:tcW w:type="dxa" w:w="5083"/>
            <w:vAlign w:val="center"/>
          </w:tcPr>
          <w:p>
            <w:pPr>
              <w:spacing w:after="20"/>
            </w:pPr>
            <w:r/>
            <w:r>
              <w:rPr>
                <w:b w:val="0"/>
                <w:color w:val="172033"/>
                <w:sz w:val="15"/>
              </w:rPr>
              <w:t>Explainability</w:t>
            </w:r>
          </w:p>
        </w:tc>
        <w:tc>
          <w:tcPr>
            <w:tcW w:type="dxa" w:w="5083"/>
            <w:vAlign w:val="center"/>
          </w:tcPr>
          <w:p>
            <w:pPr>
              <w:spacing w:after="20"/>
            </w:pPr>
            <w:r/>
            <w:r>
              <w:rPr>
                <w:b w:val="0"/>
                <w:color w:val="172033"/>
                <w:sz w:val="15"/>
              </w:rPr>
              <w:t>Reason codes, model metadata and grounded explanation for important outputs.</w:t>
            </w:r>
          </w:p>
        </w:tc>
      </w:tr>
      <w:tr>
        <w:tc>
          <w:tcPr>
            <w:tcW w:type="dxa" w:w="5083"/>
            <w:vAlign w:val="center"/>
            <w:shd w:fill="F7F9FC"/>
          </w:tcPr>
          <w:p>
            <w:pPr>
              <w:spacing w:after="20"/>
            </w:pPr>
            <w:r/>
            <w:r>
              <w:rPr>
                <w:b w:val="0"/>
                <w:color w:val="172033"/>
                <w:sz w:val="15"/>
              </w:rPr>
              <w:t>Fairness</w:t>
            </w:r>
          </w:p>
        </w:tc>
        <w:tc>
          <w:tcPr>
            <w:tcW w:type="dxa" w:w="5083"/>
            <w:vAlign w:val="center"/>
            <w:shd w:fill="F7F9FC"/>
          </w:tcPr>
          <w:p>
            <w:pPr>
              <w:spacing w:after="20"/>
            </w:pPr>
            <w:r/>
            <w:r>
              <w:rPr>
                <w:b w:val="0"/>
                <w:color w:val="172033"/>
                <w:sz w:val="15"/>
              </w:rPr>
              <w:t>Cohort performance review and documented mitigations for material differences.</w:t>
            </w:r>
          </w:p>
        </w:tc>
      </w:tr>
      <w:tr>
        <w:tc>
          <w:tcPr>
            <w:tcW w:type="dxa" w:w="5083"/>
            <w:vAlign w:val="center"/>
          </w:tcPr>
          <w:p>
            <w:pPr>
              <w:spacing w:after="20"/>
            </w:pPr>
            <w:r/>
            <w:r>
              <w:rPr>
                <w:b w:val="0"/>
                <w:color w:val="172033"/>
                <w:sz w:val="15"/>
              </w:rPr>
              <w:t>Security</w:t>
            </w:r>
          </w:p>
        </w:tc>
        <w:tc>
          <w:tcPr>
            <w:tcW w:type="dxa" w:w="5083"/>
            <w:vAlign w:val="center"/>
          </w:tcPr>
          <w:p>
            <w:pPr>
              <w:spacing w:after="20"/>
            </w:pPr>
            <w:r/>
            <w:r>
              <w:rPr>
                <w:b w:val="0"/>
                <w:color w:val="172033"/>
                <w:sz w:val="15"/>
              </w:rPr>
              <w:t>Auth/RBAC, STRIDE controls, adversarial AI tests, access control and audit logs.</w:t>
            </w:r>
          </w:p>
        </w:tc>
      </w:tr>
      <w:tr>
        <w:tc>
          <w:tcPr>
            <w:tcW w:type="dxa" w:w="5083"/>
            <w:vAlign w:val="center"/>
            <w:shd w:fill="F7F9FC"/>
          </w:tcPr>
          <w:p>
            <w:pPr>
              <w:spacing w:after="20"/>
            </w:pPr>
            <w:r/>
            <w:r>
              <w:rPr>
                <w:b w:val="0"/>
                <w:color w:val="172033"/>
                <w:sz w:val="15"/>
              </w:rPr>
              <w:t>Human oversight</w:t>
            </w:r>
          </w:p>
        </w:tc>
        <w:tc>
          <w:tcPr>
            <w:tcW w:type="dxa" w:w="5083"/>
            <w:vAlign w:val="center"/>
            <w:shd w:fill="F7F9FC"/>
          </w:tcPr>
          <w:p>
            <w:pPr>
              <w:spacing w:after="20"/>
            </w:pPr>
            <w:r/>
            <w:r>
              <w:rPr>
                <w:b w:val="0"/>
                <w:color w:val="172033"/>
                <w:sz w:val="15"/>
              </w:rPr>
              <w:t>No autonomous punitive/financial decisions; intervention approval/status workflow.</w:t>
            </w:r>
          </w:p>
        </w:tc>
      </w:tr>
      <w:tr>
        <w:tc>
          <w:tcPr>
            <w:tcW w:type="dxa" w:w="5083"/>
            <w:vAlign w:val="center"/>
          </w:tcPr>
          <w:p>
            <w:pPr>
              <w:spacing w:after="20"/>
            </w:pPr>
            <w:r/>
            <w:r>
              <w:rPr>
                <w:b w:val="0"/>
                <w:color w:val="172033"/>
                <w:sz w:val="15"/>
              </w:rPr>
              <w:t>Scalability</w:t>
            </w:r>
          </w:p>
        </w:tc>
        <w:tc>
          <w:tcPr>
            <w:tcW w:type="dxa" w:w="5083"/>
            <w:vAlign w:val="center"/>
          </w:tcPr>
          <w:p>
            <w:pPr>
              <w:spacing w:after="20"/>
            </w:pPr>
            <w:r/>
            <w:r>
              <w:rPr>
                <w:b w:val="0"/>
                <w:color w:val="172033"/>
                <w:sz w:val="15"/>
              </w:rPr>
              <w:t>Stateless APIs, queue/cache, Postgres/PostGIS, modular boundaries and production migration path.</w:t>
            </w:r>
          </w:p>
        </w:tc>
      </w:tr>
      <w:tr>
        <w:tc>
          <w:tcPr>
            <w:tcW w:type="dxa" w:w="5083"/>
            <w:vAlign w:val="center"/>
            <w:shd w:fill="F7F9FC"/>
          </w:tcPr>
          <w:p>
            <w:pPr>
              <w:spacing w:after="20"/>
            </w:pPr>
            <w:r/>
            <w:r>
              <w:rPr>
                <w:b w:val="0"/>
                <w:color w:val="172033"/>
                <w:sz w:val="15"/>
              </w:rPr>
              <w:t>Business impact</w:t>
            </w:r>
          </w:p>
        </w:tc>
        <w:tc>
          <w:tcPr>
            <w:tcW w:type="dxa" w:w="5083"/>
            <w:vAlign w:val="center"/>
            <w:shd w:fill="F7F9FC"/>
          </w:tcPr>
          <w:p>
            <w:pPr>
              <w:spacing w:after="20"/>
            </w:pPr>
            <w:r/>
            <w:r>
              <w:rPr>
                <w:b w:val="0"/>
                <w:color w:val="172033"/>
                <w:sz w:val="15"/>
              </w:rPr>
              <w:t>Outcome KPIs and feedback loop tied to interventions.</w:t>
            </w:r>
          </w:p>
        </w:tc>
      </w:tr>
    </w:tbl>
    <w:p>
      <w:pPr>
        <w:spacing w:after="20"/>
      </w:pPr>
    </w:p>
    <w:p>
      <w:pPr>
        <w:pStyle w:val="Heading1"/>
      </w:pPr>
      <w:r>
        <w:t>16.1 Definition of Done for Competition</w:t>
      </w:r>
    </w:p>
    <w:p>
      <w:pPr>
        <w:pStyle w:val="ListBullet"/>
        <w:spacing w:after="40"/>
      </w:pPr>
      <w:r>
        <w:t>All seven Track 05 opportunities are represented in the product architecture; at least 3–4 are deeply implemented in the live prototype and remaining capabilities have credible working stubs/data flows.</w:t>
      </w:r>
    </w:p>
    <w:p>
      <w:pPr>
        <w:pStyle w:val="ListBullet"/>
        <w:spacing w:after="40"/>
      </w:pPr>
      <w:r>
        <w:t>At least one merchant and one agent scenario can be demonstrated from synthetic raw data to action and measured outcome.</w:t>
      </w:r>
    </w:p>
    <w:p>
      <w:pPr>
        <w:pStyle w:val="ListBullet"/>
        <w:spacing w:after="40"/>
      </w:pPr>
      <w:r>
        <w:t>Model card(s), data assumptions, security controls and architecture are visible to judges.</w:t>
      </w:r>
    </w:p>
    <w:p>
      <w:pPr>
        <w:pStyle w:val="ListBullet"/>
        <w:spacing w:after="40"/>
      </w:pPr>
      <w:r>
        <w:t>No page depends on real production credentials or PII.</w:t>
      </w:r>
    </w:p>
    <w:p>
      <w:pPr>
        <w:pStyle w:val="ListBullet"/>
        <w:spacing w:after="40"/>
      </w:pPr>
      <w:r>
        <w:t>Core experience works at laptop resolution and remains usable on mobile.</w:t>
      </w:r>
    </w:p>
    <w:p>
      <w:pPr>
        <w:pStyle w:val="ListBullet"/>
        <w:spacing w:after="40"/>
      </w:pPr>
      <w:r>
        <w:t>Critical AI results are reproducible from a fixed dataset/model version.</w:t>
      </w:r>
    </w:p>
    <w:p>
      <w:pPr>
        <w:pStyle w:val="ListBullet"/>
        <w:spacing w:after="40"/>
      </w:pPr>
      <w:r>
        <w:t>Security and AI adversarial test results are documented with pass/fail evidence.</w:t>
      </w:r>
    </w:p>
    <w:p>
      <w:pPr>
        <w:pStyle w:val="Title"/>
      </w:pPr>
      <w:r>
        <w:t>17. Roadmap, Risks &amp; Future Production Path</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Phase</w:t>
            </w:r>
          </w:p>
        </w:tc>
        <w:tc>
          <w:tcPr>
            <w:tcW w:type="dxa" w:w="5083"/>
            <w:vAlign w:val="center"/>
            <w:shd w:fill="10233F"/>
          </w:tcPr>
          <w:p>
            <w:pPr>
              <w:spacing w:after="20"/>
            </w:pPr>
            <w:r/>
            <w:r>
              <w:rPr>
                <w:b/>
                <w:color w:val="FFFFFF"/>
                <w:sz w:val="16"/>
              </w:rPr>
              <w:t>Deliverable</w:t>
            </w:r>
          </w:p>
        </w:tc>
      </w:tr>
      <w:tr>
        <w:tc>
          <w:tcPr>
            <w:tcW w:type="dxa" w:w="5083"/>
            <w:vAlign w:val="center"/>
          </w:tcPr>
          <w:p>
            <w:pPr>
              <w:spacing w:after="20"/>
            </w:pPr>
            <w:r/>
            <w:r>
              <w:rPr>
                <w:b w:val="0"/>
                <w:color w:val="172033"/>
                <w:sz w:val="15"/>
              </w:rPr>
              <w:t>P0 — Foundation</w:t>
            </w:r>
          </w:p>
        </w:tc>
        <w:tc>
          <w:tcPr>
            <w:tcW w:type="dxa" w:w="5083"/>
            <w:vAlign w:val="center"/>
          </w:tcPr>
          <w:p>
            <w:pPr>
              <w:spacing w:after="20"/>
            </w:pPr>
            <w:r/>
            <w:r>
              <w:rPr>
                <w:b w:val="0"/>
                <w:color w:val="172033"/>
                <w:sz w:val="15"/>
              </w:rPr>
              <w:t>Synthetic data, schema, auth, design system, API skeleton, observability.</w:t>
            </w:r>
          </w:p>
        </w:tc>
      </w:tr>
      <w:tr>
        <w:tc>
          <w:tcPr>
            <w:tcW w:type="dxa" w:w="5083"/>
            <w:vAlign w:val="center"/>
            <w:shd w:fill="F7F9FC"/>
          </w:tcPr>
          <w:p>
            <w:pPr>
              <w:spacing w:after="20"/>
            </w:pPr>
            <w:r/>
            <w:r>
              <w:rPr>
                <w:b w:val="0"/>
                <w:color w:val="172033"/>
                <w:sz w:val="15"/>
              </w:rPr>
              <w:t>P1 — Core intelligence</w:t>
            </w:r>
          </w:p>
        </w:tc>
        <w:tc>
          <w:tcPr>
            <w:tcW w:type="dxa" w:w="5083"/>
            <w:vAlign w:val="center"/>
            <w:shd w:fill="F7F9FC"/>
          </w:tcPr>
          <w:p>
            <w:pPr>
              <w:spacing w:after="20"/>
            </w:pPr>
            <w:r/>
            <w:r>
              <w:rPr>
                <w:b w:val="0"/>
                <w:color w:val="172033"/>
                <w:sz w:val="15"/>
              </w:rPr>
              <w:t>Merchant forecast/churn/benchmark + agent liquidity forecast.</w:t>
            </w:r>
          </w:p>
        </w:tc>
      </w:tr>
      <w:tr>
        <w:tc>
          <w:tcPr>
            <w:tcW w:type="dxa" w:w="5083"/>
            <w:vAlign w:val="center"/>
          </w:tcPr>
          <w:p>
            <w:pPr>
              <w:spacing w:after="20"/>
            </w:pPr>
            <w:r/>
            <w:r>
              <w:rPr>
                <w:b w:val="0"/>
                <w:color w:val="172033"/>
                <w:sz w:val="15"/>
              </w:rPr>
              <w:t>P2 — Action layer</w:t>
            </w:r>
          </w:p>
        </w:tc>
        <w:tc>
          <w:tcPr>
            <w:tcW w:type="dxa" w:w="5083"/>
            <w:vAlign w:val="center"/>
          </w:tcPr>
          <w:p>
            <w:pPr>
              <w:spacing w:after="20"/>
            </w:pPr>
            <w:r/>
            <w:r>
              <w:rPr>
                <w:b w:val="0"/>
                <w:color w:val="172033"/>
                <w:sz w:val="15"/>
              </w:rPr>
              <w:t>Recommendations, intervention workflow, explanations, feedback.</w:t>
            </w:r>
          </w:p>
        </w:tc>
      </w:tr>
      <w:tr>
        <w:tc>
          <w:tcPr>
            <w:tcW w:type="dxa" w:w="5083"/>
            <w:vAlign w:val="center"/>
            <w:shd w:fill="F7F9FC"/>
          </w:tcPr>
          <w:p>
            <w:pPr>
              <w:spacing w:after="20"/>
            </w:pPr>
            <w:r/>
            <w:r>
              <w:rPr>
                <w:b w:val="0"/>
                <w:color w:val="172033"/>
                <w:sz w:val="15"/>
              </w:rPr>
              <w:t>P3 — Differentiation</w:t>
            </w:r>
          </w:p>
        </w:tc>
        <w:tc>
          <w:tcPr>
            <w:tcW w:type="dxa" w:w="5083"/>
            <w:vAlign w:val="center"/>
            <w:shd w:fill="F7F9FC"/>
          </w:tcPr>
          <w:p>
            <w:pPr>
              <w:spacing w:after="20"/>
            </w:pPr>
            <w:r/>
            <w:r>
              <w:rPr>
                <w:b w:val="0"/>
                <w:color w:val="172033"/>
                <w:sz w:val="15"/>
              </w:rPr>
              <w:t>Location intelligence, anomaly/performance engine, 2.5D map, what-if simulator.</w:t>
            </w:r>
          </w:p>
        </w:tc>
      </w:tr>
      <w:tr>
        <w:tc>
          <w:tcPr>
            <w:tcW w:type="dxa" w:w="5083"/>
            <w:vAlign w:val="center"/>
          </w:tcPr>
          <w:p>
            <w:pPr>
              <w:spacing w:after="20"/>
            </w:pPr>
            <w:r/>
            <w:r>
              <w:rPr>
                <w:b w:val="0"/>
                <w:color w:val="172033"/>
                <w:sz w:val="15"/>
              </w:rPr>
              <w:t>P4 — Hardening</w:t>
            </w:r>
          </w:p>
        </w:tc>
        <w:tc>
          <w:tcPr>
            <w:tcW w:type="dxa" w:w="5083"/>
            <w:vAlign w:val="center"/>
          </w:tcPr>
          <w:p>
            <w:pPr>
              <w:spacing w:after="20"/>
            </w:pPr>
            <w:r/>
            <w:r>
              <w:rPr>
                <w:b w:val="0"/>
                <w:color w:val="172033"/>
                <w:sz w:val="15"/>
              </w:rPr>
              <w:t>Security tests, accessibility, performance, model cards, demo resilience.</w:t>
            </w:r>
          </w:p>
        </w:tc>
      </w:tr>
      <w:tr>
        <w:tc>
          <w:tcPr>
            <w:tcW w:type="dxa" w:w="5083"/>
            <w:vAlign w:val="center"/>
            <w:shd w:fill="F7F9FC"/>
          </w:tcPr>
          <w:p>
            <w:pPr>
              <w:spacing w:after="20"/>
            </w:pPr>
            <w:r/>
            <w:r>
              <w:rPr>
                <w:b w:val="0"/>
                <w:color w:val="172033"/>
                <w:sz w:val="15"/>
              </w:rPr>
              <w:t>Future validation</w:t>
            </w:r>
          </w:p>
        </w:tc>
        <w:tc>
          <w:tcPr>
            <w:tcW w:type="dxa" w:w="5083"/>
            <w:vAlign w:val="center"/>
            <w:shd w:fill="F7F9FC"/>
          </w:tcPr>
          <w:p>
            <w:pPr>
              <w:spacing w:after="20"/>
            </w:pPr>
            <w:r/>
            <w:r>
              <w:rPr>
                <w:b w:val="0"/>
                <w:color w:val="172033"/>
                <w:sz w:val="15"/>
              </w:rPr>
              <w:t>Governed/anonymized real-data evaluation, shadow mode, controlled business experiment.</w:t>
            </w:r>
          </w:p>
        </w:tc>
      </w:tr>
    </w:tbl>
    <w:p>
      <w:pPr>
        <w:spacing w:after="20"/>
      </w:pPr>
    </w:p>
    <w:p>
      <w:pPr>
        <w:pStyle w:val="Heading1"/>
      </w:pPr>
      <w:r>
        <w:t>17.1 Key Risks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0233F"/>
          </w:tcPr>
          <w:p>
            <w:pPr>
              <w:spacing w:after="20"/>
            </w:pPr>
            <w:r/>
            <w:r>
              <w:rPr>
                <w:b/>
                <w:color w:val="FFFFFF"/>
                <w:sz w:val="16"/>
              </w:rPr>
              <w:t>Risk</w:t>
            </w:r>
          </w:p>
        </w:tc>
        <w:tc>
          <w:tcPr>
            <w:tcW w:type="dxa" w:w="3389"/>
            <w:vAlign w:val="center"/>
            <w:shd w:fill="10233F"/>
          </w:tcPr>
          <w:p>
            <w:pPr>
              <w:spacing w:after="20"/>
            </w:pPr>
            <w:r/>
            <w:r>
              <w:rPr>
                <w:b/>
                <w:color w:val="FFFFFF"/>
                <w:sz w:val="16"/>
              </w:rPr>
              <w:t>Impact</w:t>
            </w:r>
          </w:p>
        </w:tc>
        <w:tc>
          <w:tcPr>
            <w:tcW w:type="dxa" w:w="3389"/>
            <w:vAlign w:val="center"/>
            <w:shd w:fill="10233F"/>
          </w:tcPr>
          <w:p>
            <w:pPr>
              <w:spacing w:after="20"/>
            </w:pPr>
            <w:r/>
            <w:r>
              <w:rPr>
                <w:b/>
                <w:color w:val="FFFFFF"/>
                <w:sz w:val="16"/>
              </w:rPr>
              <w:t>Mitigation</w:t>
            </w:r>
          </w:p>
        </w:tc>
      </w:tr>
      <w:tr>
        <w:tc>
          <w:tcPr>
            <w:tcW w:type="dxa" w:w="3389"/>
            <w:vAlign w:val="center"/>
          </w:tcPr>
          <w:p>
            <w:pPr>
              <w:spacing w:after="20"/>
            </w:pPr>
            <w:r/>
            <w:r>
              <w:rPr>
                <w:b w:val="0"/>
                <w:color w:val="172033"/>
                <w:sz w:val="15"/>
              </w:rPr>
              <w:t>Overbuilding seven models</w:t>
            </w:r>
          </w:p>
        </w:tc>
        <w:tc>
          <w:tcPr>
            <w:tcW w:type="dxa" w:w="3389"/>
            <w:vAlign w:val="center"/>
          </w:tcPr>
          <w:p>
            <w:pPr>
              <w:spacing w:after="20"/>
            </w:pPr>
            <w:r/>
            <w:r>
              <w:rPr>
                <w:b w:val="0"/>
                <w:color w:val="172033"/>
                <w:sz w:val="15"/>
              </w:rPr>
              <w:t>Prototype becomes shallow</w:t>
            </w:r>
          </w:p>
        </w:tc>
        <w:tc>
          <w:tcPr>
            <w:tcW w:type="dxa" w:w="3389"/>
            <w:vAlign w:val="center"/>
          </w:tcPr>
          <w:p>
            <w:pPr>
              <w:spacing w:after="20"/>
            </w:pPr>
            <w:r/>
            <w:r>
              <w:rPr>
                <w:b w:val="0"/>
                <w:color w:val="172033"/>
                <w:sz w:val="15"/>
              </w:rPr>
              <w:t>Deeply implement highest-value 3–4; use shared feature/data platform and clearly label staged capabilities.</w:t>
            </w:r>
          </w:p>
        </w:tc>
      </w:tr>
      <w:tr>
        <w:tc>
          <w:tcPr>
            <w:tcW w:type="dxa" w:w="3389"/>
            <w:vAlign w:val="center"/>
            <w:shd w:fill="F7F9FC"/>
          </w:tcPr>
          <w:p>
            <w:pPr>
              <w:spacing w:after="20"/>
            </w:pPr>
            <w:r/>
            <w:r>
              <w:rPr>
                <w:b w:val="0"/>
                <w:color w:val="172033"/>
                <w:sz w:val="15"/>
              </w:rPr>
              <w:t>Beautiful but slow 3D</w:t>
            </w:r>
          </w:p>
        </w:tc>
        <w:tc>
          <w:tcPr>
            <w:tcW w:type="dxa" w:w="3389"/>
            <w:vAlign w:val="center"/>
            <w:shd w:fill="F7F9FC"/>
          </w:tcPr>
          <w:p>
            <w:pPr>
              <w:spacing w:after="20"/>
            </w:pPr>
            <w:r/>
            <w:r>
              <w:rPr>
                <w:b w:val="0"/>
                <w:color w:val="172033"/>
                <w:sz w:val="15"/>
              </w:rPr>
              <w:t>Hurts demo/usability</w:t>
            </w:r>
          </w:p>
        </w:tc>
        <w:tc>
          <w:tcPr>
            <w:tcW w:type="dxa" w:w="3389"/>
            <w:vAlign w:val="center"/>
            <w:shd w:fill="F7F9FC"/>
          </w:tcPr>
          <w:p>
            <w:pPr>
              <w:spacing w:after="20"/>
            </w:pPr>
            <w:r/>
            <w:r>
              <w:rPr>
                <w:b w:val="0"/>
                <w:color w:val="172033"/>
                <w:sz w:val="15"/>
              </w:rPr>
              <w:t>Lazy load, static fallback, reduced motion, performance budget.</w:t>
            </w:r>
          </w:p>
        </w:tc>
      </w:tr>
      <w:tr>
        <w:tc>
          <w:tcPr>
            <w:tcW w:type="dxa" w:w="3389"/>
            <w:vAlign w:val="center"/>
          </w:tcPr>
          <w:p>
            <w:pPr>
              <w:spacing w:after="20"/>
            </w:pPr>
            <w:r/>
            <w:r>
              <w:rPr>
                <w:b w:val="0"/>
                <w:color w:val="172033"/>
                <w:sz w:val="15"/>
              </w:rPr>
              <w:t>Synthetic data too clean</w:t>
            </w:r>
          </w:p>
        </w:tc>
        <w:tc>
          <w:tcPr>
            <w:tcW w:type="dxa" w:w="3389"/>
            <w:vAlign w:val="center"/>
          </w:tcPr>
          <w:p>
            <w:pPr>
              <w:spacing w:after="20"/>
            </w:pPr>
            <w:r/>
            <w:r>
              <w:rPr>
                <w:b w:val="0"/>
                <w:color w:val="172033"/>
                <w:sz w:val="15"/>
              </w:rPr>
              <w:t>Misleading model quality</w:t>
            </w:r>
          </w:p>
        </w:tc>
        <w:tc>
          <w:tcPr>
            <w:tcW w:type="dxa" w:w="3389"/>
            <w:vAlign w:val="center"/>
          </w:tcPr>
          <w:p>
            <w:pPr>
              <w:spacing w:after="20"/>
            </w:pPr>
            <w:r/>
            <w:r>
              <w:rPr>
                <w:b w:val="0"/>
                <w:color w:val="172033"/>
                <w:sz w:val="15"/>
              </w:rPr>
              <w:t>Inject noise, missingness, seasonality, anomalies and distribution shifts.</w:t>
            </w:r>
          </w:p>
        </w:tc>
      </w:tr>
      <w:tr>
        <w:tc>
          <w:tcPr>
            <w:tcW w:type="dxa" w:w="3389"/>
            <w:vAlign w:val="center"/>
            <w:shd w:fill="F7F9FC"/>
          </w:tcPr>
          <w:p>
            <w:pPr>
              <w:spacing w:after="20"/>
            </w:pPr>
            <w:r/>
            <w:r>
              <w:rPr>
                <w:b w:val="0"/>
                <w:color w:val="172033"/>
                <w:sz w:val="15"/>
              </w:rPr>
              <w:t>LLM becomes decision engine</w:t>
            </w:r>
          </w:p>
        </w:tc>
        <w:tc>
          <w:tcPr>
            <w:tcW w:type="dxa" w:w="3389"/>
            <w:vAlign w:val="center"/>
            <w:shd w:fill="F7F9FC"/>
          </w:tcPr>
          <w:p>
            <w:pPr>
              <w:spacing w:after="20"/>
            </w:pPr>
            <w:r/>
            <w:r>
              <w:rPr>
                <w:b w:val="0"/>
                <w:color w:val="172033"/>
                <w:sz w:val="15"/>
              </w:rPr>
              <w:t>Safety/explainability risk</w:t>
            </w:r>
          </w:p>
        </w:tc>
        <w:tc>
          <w:tcPr>
            <w:tcW w:type="dxa" w:w="3389"/>
            <w:vAlign w:val="center"/>
            <w:shd w:fill="F7F9FC"/>
          </w:tcPr>
          <w:p>
            <w:pPr>
              <w:spacing w:after="20"/>
            </w:pPr>
            <w:r/>
            <w:r>
              <w:rPr>
                <w:b w:val="0"/>
                <w:color w:val="172033"/>
                <w:sz w:val="15"/>
              </w:rPr>
              <w:t>Structured ML/rules are source of truth; LLM only explains approved facts.</w:t>
            </w:r>
          </w:p>
        </w:tc>
      </w:tr>
      <w:tr>
        <w:tc>
          <w:tcPr>
            <w:tcW w:type="dxa" w:w="3389"/>
            <w:vAlign w:val="center"/>
          </w:tcPr>
          <w:p>
            <w:pPr>
              <w:spacing w:after="20"/>
            </w:pPr>
            <w:r/>
            <w:r>
              <w:rPr>
                <w:b w:val="0"/>
                <w:color w:val="172033"/>
                <w:sz w:val="15"/>
              </w:rPr>
              <w:t>False certainty</w:t>
            </w:r>
          </w:p>
        </w:tc>
        <w:tc>
          <w:tcPr>
            <w:tcW w:type="dxa" w:w="3389"/>
            <w:vAlign w:val="center"/>
          </w:tcPr>
          <w:p>
            <w:pPr>
              <w:spacing w:after="20"/>
            </w:pPr>
            <w:r/>
            <w:r>
              <w:rPr>
                <w:b w:val="0"/>
                <w:color w:val="172033"/>
                <w:sz w:val="15"/>
              </w:rPr>
              <w:t>Users over-trust forecasts</w:t>
            </w:r>
          </w:p>
        </w:tc>
        <w:tc>
          <w:tcPr>
            <w:tcW w:type="dxa" w:w="3389"/>
            <w:vAlign w:val="center"/>
          </w:tcPr>
          <w:p>
            <w:pPr>
              <w:spacing w:after="20"/>
            </w:pPr>
            <w:r/>
            <w:r>
              <w:rPr>
                <w:b w:val="0"/>
                <w:color w:val="172033"/>
                <w:sz w:val="15"/>
              </w:rPr>
              <w:t>Confidence bands, calibration, stale timestamps and human review.</w:t>
            </w:r>
          </w:p>
        </w:tc>
      </w:tr>
      <w:tr>
        <w:tc>
          <w:tcPr>
            <w:tcW w:type="dxa" w:w="3389"/>
            <w:vAlign w:val="center"/>
            <w:shd w:fill="F7F9FC"/>
          </w:tcPr>
          <w:p>
            <w:pPr>
              <w:spacing w:after="20"/>
            </w:pPr>
            <w:r/>
            <w:r>
              <w:rPr>
                <w:b w:val="0"/>
                <w:color w:val="172033"/>
                <w:sz w:val="15"/>
              </w:rPr>
              <w:t>Data leakage in training</w:t>
            </w:r>
          </w:p>
        </w:tc>
        <w:tc>
          <w:tcPr>
            <w:tcW w:type="dxa" w:w="3389"/>
            <w:vAlign w:val="center"/>
            <w:shd w:fill="F7F9FC"/>
          </w:tcPr>
          <w:p>
            <w:pPr>
              <w:spacing w:after="20"/>
            </w:pPr>
            <w:r/>
            <w:r>
              <w:rPr>
                <w:b w:val="0"/>
                <w:color w:val="172033"/>
                <w:sz w:val="15"/>
              </w:rPr>
              <w:t>Inflated metrics</w:t>
            </w:r>
          </w:p>
        </w:tc>
        <w:tc>
          <w:tcPr>
            <w:tcW w:type="dxa" w:w="3389"/>
            <w:vAlign w:val="center"/>
            <w:shd w:fill="F7F9FC"/>
          </w:tcPr>
          <w:p>
            <w:pPr>
              <w:spacing w:after="20"/>
            </w:pPr>
            <w:r/>
            <w:r>
              <w:rPr>
                <w:b w:val="0"/>
                <w:color w:val="172033"/>
                <w:sz w:val="15"/>
              </w:rPr>
              <w:t>Time split, leakage checks, clean holdout set.</w:t>
            </w:r>
          </w:p>
        </w:tc>
      </w:tr>
    </w:tbl>
    <w:p>
      <w:pPr>
        <w:spacing w:after="20"/>
      </w:pPr>
    </w:p>
    <w:p>
      <w:pPr>
        <w:pStyle w:val="Title"/>
      </w:pPr>
      <w:r>
        <w:t>Appendix A. Core Data Model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Entity</w:t>
            </w:r>
          </w:p>
        </w:tc>
        <w:tc>
          <w:tcPr>
            <w:tcW w:type="dxa" w:w="5083"/>
            <w:vAlign w:val="center"/>
            <w:shd w:fill="10233F"/>
          </w:tcPr>
          <w:p>
            <w:pPr>
              <w:spacing w:after="20"/>
            </w:pPr>
            <w:r/>
            <w:r>
              <w:rPr>
                <w:b/>
                <w:color w:val="FFFFFF"/>
                <w:sz w:val="16"/>
              </w:rPr>
              <w:t>Key relationships</w:t>
            </w:r>
          </w:p>
        </w:tc>
      </w:tr>
      <w:tr>
        <w:tc>
          <w:tcPr>
            <w:tcW w:type="dxa" w:w="5083"/>
            <w:vAlign w:val="center"/>
          </w:tcPr>
          <w:p>
            <w:pPr>
              <w:spacing w:after="20"/>
            </w:pPr>
            <w:r/>
            <w:r>
              <w:rPr>
                <w:b w:val="0"/>
                <w:color w:val="172033"/>
                <w:sz w:val="15"/>
              </w:rPr>
              <w:t>User</w:t>
            </w:r>
          </w:p>
        </w:tc>
        <w:tc>
          <w:tcPr>
            <w:tcW w:type="dxa" w:w="5083"/>
            <w:vAlign w:val="center"/>
          </w:tcPr>
          <w:p>
            <w:pPr>
              <w:spacing w:after="20"/>
            </w:pPr>
            <w:r/>
            <w:r>
              <w:rPr>
                <w:b w:val="0"/>
                <w:color w:val="172033"/>
                <w:sz w:val="15"/>
              </w:rPr>
              <w:t>role_id; optional merchant_id/agent_id/region_scope</w:t>
            </w:r>
          </w:p>
        </w:tc>
      </w:tr>
      <w:tr>
        <w:tc>
          <w:tcPr>
            <w:tcW w:type="dxa" w:w="5083"/>
            <w:vAlign w:val="center"/>
            <w:shd w:fill="F7F9FC"/>
          </w:tcPr>
          <w:p>
            <w:pPr>
              <w:spacing w:after="20"/>
            </w:pPr>
            <w:r/>
            <w:r>
              <w:rPr>
                <w:b w:val="0"/>
                <w:color w:val="172033"/>
                <w:sz w:val="15"/>
              </w:rPr>
              <w:t>Merchant</w:t>
            </w:r>
          </w:p>
        </w:tc>
        <w:tc>
          <w:tcPr>
            <w:tcW w:type="dxa" w:w="5083"/>
            <w:vAlign w:val="center"/>
            <w:shd w:fill="F7F9FC"/>
          </w:tcPr>
          <w:p>
            <w:pPr>
              <w:spacing w:after="20"/>
            </w:pPr>
            <w:r/>
            <w:r>
              <w:rPr>
                <w:b w:val="0"/>
                <w:color w:val="172033"/>
                <w:sz w:val="15"/>
              </w:rPr>
              <w:t>region, category; has transactions, predictions, recommendations, interventions</w:t>
            </w:r>
          </w:p>
        </w:tc>
      </w:tr>
      <w:tr>
        <w:tc>
          <w:tcPr>
            <w:tcW w:type="dxa" w:w="5083"/>
            <w:vAlign w:val="center"/>
          </w:tcPr>
          <w:p>
            <w:pPr>
              <w:spacing w:after="20"/>
            </w:pPr>
            <w:r/>
            <w:r>
              <w:rPr>
                <w:b w:val="0"/>
                <w:color w:val="172033"/>
                <w:sz w:val="15"/>
              </w:rPr>
              <w:t>Agent</w:t>
            </w:r>
          </w:p>
        </w:tc>
        <w:tc>
          <w:tcPr>
            <w:tcW w:type="dxa" w:w="5083"/>
            <w:vAlign w:val="center"/>
          </w:tcPr>
          <w:p>
            <w:pPr>
              <w:spacing w:after="20"/>
            </w:pPr>
            <w:r/>
            <w:r>
              <w:rPr>
                <w:b w:val="0"/>
                <w:color w:val="172033"/>
                <w:sz w:val="15"/>
              </w:rPr>
              <w:t>region; has liquidity snapshots, transactions, predictions, anomalies, interventions</w:t>
            </w:r>
          </w:p>
        </w:tc>
      </w:tr>
      <w:tr>
        <w:tc>
          <w:tcPr>
            <w:tcW w:type="dxa" w:w="5083"/>
            <w:vAlign w:val="center"/>
            <w:shd w:fill="F7F9FC"/>
          </w:tcPr>
          <w:p>
            <w:pPr>
              <w:spacing w:after="20"/>
            </w:pPr>
            <w:r/>
            <w:r>
              <w:rPr>
                <w:b w:val="0"/>
                <w:color w:val="172033"/>
                <w:sz w:val="15"/>
              </w:rPr>
              <w:t>TransactionEvent</w:t>
            </w:r>
          </w:p>
        </w:tc>
        <w:tc>
          <w:tcPr>
            <w:tcW w:type="dxa" w:w="5083"/>
            <w:vAlign w:val="center"/>
            <w:shd w:fill="F7F9FC"/>
          </w:tcPr>
          <w:p>
            <w:pPr>
              <w:spacing w:after="20"/>
            </w:pPr>
            <w:r/>
            <w:r>
              <w:rPr>
                <w:b w:val="0"/>
                <w:color w:val="172033"/>
                <w:sz w:val="15"/>
              </w:rPr>
              <w:t>belongs to merchant/agent synthetic entity; timestamped</w:t>
            </w:r>
          </w:p>
        </w:tc>
      </w:tr>
      <w:tr>
        <w:tc>
          <w:tcPr>
            <w:tcW w:type="dxa" w:w="5083"/>
            <w:vAlign w:val="center"/>
          </w:tcPr>
          <w:p>
            <w:pPr>
              <w:spacing w:after="20"/>
            </w:pPr>
            <w:r/>
            <w:r>
              <w:rPr>
                <w:b w:val="0"/>
                <w:color w:val="172033"/>
                <w:sz w:val="15"/>
              </w:rPr>
              <w:t>Prediction</w:t>
            </w:r>
          </w:p>
        </w:tc>
        <w:tc>
          <w:tcPr>
            <w:tcW w:type="dxa" w:w="5083"/>
            <w:vAlign w:val="center"/>
          </w:tcPr>
          <w:p>
            <w:pPr>
              <w:spacing w:after="20"/>
            </w:pPr>
            <w:r/>
            <w:r>
              <w:rPr>
                <w:b w:val="0"/>
                <w:color w:val="172033"/>
                <w:sz w:val="15"/>
              </w:rPr>
              <w:t>target entity; model_version; prediction_type; horizon; value; confidence; reason_codes</w:t>
            </w:r>
          </w:p>
        </w:tc>
      </w:tr>
      <w:tr>
        <w:tc>
          <w:tcPr>
            <w:tcW w:type="dxa" w:w="5083"/>
            <w:vAlign w:val="center"/>
            <w:shd w:fill="F7F9FC"/>
          </w:tcPr>
          <w:p>
            <w:pPr>
              <w:spacing w:after="20"/>
            </w:pPr>
            <w:r/>
            <w:r>
              <w:rPr>
                <w:b w:val="0"/>
                <w:color w:val="172033"/>
                <w:sz w:val="15"/>
              </w:rPr>
              <w:t>Recommendation</w:t>
            </w:r>
          </w:p>
        </w:tc>
        <w:tc>
          <w:tcPr>
            <w:tcW w:type="dxa" w:w="5083"/>
            <w:vAlign w:val="center"/>
            <w:shd w:fill="F7F9FC"/>
          </w:tcPr>
          <w:p>
            <w:pPr>
              <w:spacing w:after="20"/>
            </w:pPr>
            <w:r/>
            <w:r>
              <w:rPr>
                <w:b w:val="0"/>
                <w:color w:val="172033"/>
                <w:sz w:val="15"/>
              </w:rPr>
              <w:t>prediction/target; action_type; rationale; expected_effect; status</w:t>
            </w:r>
          </w:p>
        </w:tc>
      </w:tr>
      <w:tr>
        <w:tc>
          <w:tcPr>
            <w:tcW w:type="dxa" w:w="5083"/>
            <w:vAlign w:val="center"/>
          </w:tcPr>
          <w:p>
            <w:pPr>
              <w:spacing w:after="20"/>
            </w:pPr>
            <w:r/>
            <w:r>
              <w:rPr>
                <w:b w:val="0"/>
                <w:color w:val="172033"/>
                <w:sz w:val="15"/>
              </w:rPr>
              <w:t>Intervention</w:t>
            </w:r>
          </w:p>
        </w:tc>
        <w:tc>
          <w:tcPr>
            <w:tcW w:type="dxa" w:w="5083"/>
            <w:vAlign w:val="center"/>
          </w:tcPr>
          <w:p>
            <w:pPr>
              <w:spacing w:after="20"/>
            </w:pPr>
            <w:r/>
            <w:r>
              <w:rPr>
                <w:b w:val="0"/>
                <w:color w:val="172033"/>
                <w:sz w:val="15"/>
              </w:rPr>
              <w:t>target; recommendation; owner; SLA/status; outcome</w:t>
            </w:r>
          </w:p>
        </w:tc>
      </w:tr>
      <w:tr>
        <w:tc>
          <w:tcPr>
            <w:tcW w:type="dxa" w:w="5083"/>
            <w:vAlign w:val="center"/>
            <w:shd w:fill="F7F9FC"/>
          </w:tcPr>
          <w:p>
            <w:pPr>
              <w:spacing w:after="20"/>
            </w:pPr>
            <w:r/>
            <w:r>
              <w:rPr>
                <w:b w:val="0"/>
                <w:color w:val="172033"/>
                <w:sz w:val="15"/>
              </w:rPr>
              <w:t>LocationCell</w:t>
            </w:r>
          </w:p>
        </w:tc>
        <w:tc>
          <w:tcPr>
            <w:tcW w:type="dxa" w:w="5083"/>
            <w:vAlign w:val="center"/>
            <w:shd w:fill="F7F9FC"/>
          </w:tcPr>
          <w:p>
            <w:pPr>
              <w:spacing w:after="20"/>
            </w:pPr>
            <w:r/>
            <w:r>
              <w:rPr>
                <w:b w:val="0"/>
                <w:color w:val="172033"/>
                <w:sz w:val="15"/>
              </w:rPr>
              <w:t>geometry; demand/coverage features; opportunity score</w:t>
            </w:r>
          </w:p>
        </w:tc>
      </w:tr>
      <w:tr>
        <w:tc>
          <w:tcPr>
            <w:tcW w:type="dxa" w:w="5083"/>
            <w:vAlign w:val="center"/>
          </w:tcPr>
          <w:p>
            <w:pPr>
              <w:spacing w:after="20"/>
            </w:pPr>
            <w:r/>
            <w:r>
              <w:rPr>
                <w:b w:val="0"/>
                <w:color w:val="172033"/>
                <w:sz w:val="15"/>
              </w:rPr>
              <w:t>ModelVersion</w:t>
            </w:r>
          </w:p>
        </w:tc>
        <w:tc>
          <w:tcPr>
            <w:tcW w:type="dxa" w:w="5083"/>
            <w:vAlign w:val="center"/>
          </w:tcPr>
          <w:p>
            <w:pPr>
              <w:spacing w:after="20"/>
            </w:pPr>
            <w:r/>
            <w:r>
              <w:rPr>
                <w:b w:val="0"/>
                <w:color w:val="172033"/>
                <w:sz w:val="15"/>
              </w:rPr>
              <w:t>model name/version; artifact URI; metrics; feature schema; status</w:t>
            </w:r>
          </w:p>
        </w:tc>
      </w:tr>
      <w:tr>
        <w:tc>
          <w:tcPr>
            <w:tcW w:type="dxa" w:w="5083"/>
            <w:vAlign w:val="center"/>
            <w:shd w:fill="F7F9FC"/>
          </w:tcPr>
          <w:p>
            <w:pPr>
              <w:spacing w:after="20"/>
            </w:pPr>
            <w:r/>
            <w:r>
              <w:rPr>
                <w:b w:val="0"/>
                <w:color w:val="172033"/>
                <w:sz w:val="15"/>
              </w:rPr>
              <w:t>AuditEvent</w:t>
            </w:r>
          </w:p>
        </w:tc>
        <w:tc>
          <w:tcPr>
            <w:tcW w:type="dxa" w:w="5083"/>
            <w:vAlign w:val="center"/>
            <w:shd w:fill="F7F9FC"/>
          </w:tcPr>
          <w:p>
            <w:pPr>
              <w:spacing w:after="20"/>
            </w:pPr>
            <w:r/>
            <w:r>
              <w:rPr>
                <w:b w:val="0"/>
                <w:color w:val="172033"/>
                <w:sz w:val="15"/>
              </w:rPr>
              <w:t>actor; action; object; timestamp; result; correlation_id</w:t>
            </w:r>
          </w:p>
        </w:tc>
      </w:tr>
    </w:tbl>
    <w:p>
      <w:pPr>
        <w:spacing w:after="20"/>
      </w:pPr>
    </w:p>
    <w:p>
      <w:pPr>
        <w:pStyle w:val="Title"/>
      </w:pPr>
      <w:r>
        <w:t>Appendix B. API Response Example</w:t>
      </w:r>
    </w:p>
    <w:p>
      <w:pPr>
        <w:pStyle w:val="CodeLike"/>
      </w:pPr>
      <w:r>
        <w:t>GET /api/v1/agents/{id}/liquidity-forecast</w:t>
        <w:br/>
        <w:br/>
        <w:t>{</w:t>
        <w:br/>
        <w:t xml:space="preserve">  "agent_id": "agt_demo_1042",</w:t>
        <w:br/>
        <w:t xml:space="preserve">  "horizon_hours": 24,</w:t>
        <w:br/>
        <w:t xml:space="preserve">  "pressure_level": "high",</w:t>
        <w:br/>
        <w:t xml:space="preserve">  "forecast": {</w:t>
        <w:br/>
        <w:t xml:space="preserve">    "cash_out_p50": 185000,</w:t>
        <w:br/>
        <w:t xml:space="preserve">    "cash_out_p90": 242000,</w:t>
        <w:br/>
        <w:t xml:space="preserve">    "currency": "BDT"</w:t>
        <w:br/>
        <w:t xml:space="preserve">  },</w:t>
        <w:br/>
        <w:t xml:space="preserve">  "confidence": 0.84,</w:t>
        <w:br/>
        <w:t xml:space="preserve">  "reason_codes": [</w:t>
        <w:br/>
        <w:t xml:space="preserve">    {"feature": "same_weekday_cashout_4w", "direction": "up"},</w:t>
        <w:br/>
        <w:t xml:space="preserve">    {"feature": "local_peak_hour", "direction": "up"},</w:t>
        <w:br/>
        <w:t xml:space="preserve">    {"feature": "recent_cash_in_ratio", "direction": "down"}</w:t>
        <w:br/>
        <w:t xml:space="preserve">  ],</w:t>
        <w:br/>
        <w:t xml:space="preserve">  "recommended_action": {</w:t>
        <w:br/>
        <w:t xml:space="preserve">    "type": "prepare_liquidity_buffer",</w:t>
        <w:br/>
        <w:t xml:space="preserve">    "human_approval_required": true</w:t>
        <w:br/>
        <w:t xml:space="preserve">  },</w:t>
        <w:br/>
        <w:t xml:space="preserve">  "model": {"id": "liq_gbm", "version": "1.3.0"},</w:t>
        <w:br/>
        <w:t xml:space="preserve">  "generated_at": "2026-10-01T08:00:00Z"</w:t>
        <w:br/>
        <w:t>}</w:t>
      </w:r>
    </w:p>
    <w:p>
      <w:pPr>
        <w:pStyle w:val="Title"/>
      </w:pPr>
      <w:r>
        <w:t>Appendix C. Recommended Demo Story</w:t>
      </w:r>
    </w:p>
    <w:p>
      <w:pPr>
        <w:pStyle w:val="ListNumber"/>
        <w:spacing w:after="40"/>
      </w:pPr>
      <w:r>
        <w:t>Open the cinematic ecosystem view and state the business problem in one sentence.</w:t>
      </w:r>
    </w:p>
    <w:p>
      <w:pPr>
        <w:pStyle w:val="ListNumber"/>
        <w:spacing w:after="40"/>
      </w:pPr>
      <w:r>
        <w:t>Enter Command Center: show a geographic cluster where demand is rising and liquidity pressure is emerging.</w:t>
      </w:r>
    </w:p>
    <w:p>
      <w:pPr>
        <w:pStyle w:val="ListNumber"/>
        <w:spacing w:after="40"/>
      </w:pPr>
      <w:r>
        <w:t>Open an agent: show 24-hour liquidity forecast, confidence interval and top drivers.</w:t>
      </w:r>
    </w:p>
    <w:p>
      <w:pPr>
        <w:pStyle w:val="ListNumber"/>
        <w:spacing w:after="40"/>
      </w:pPr>
      <w:r>
        <w:t>Convert the forecast into a human-approved preparation action.</w:t>
      </w:r>
    </w:p>
    <w:p>
      <w:pPr>
        <w:pStyle w:val="ListNumber"/>
        <w:spacing w:after="40"/>
      </w:pPr>
      <w:r>
        <w:t>Open a merchant: show churn risk + peer benchmark + growth recommendation, with transparent reasons.</w:t>
      </w:r>
    </w:p>
    <w:p>
      <w:pPr>
        <w:pStyle w:val="ListNumber"/>
        <w:spacing w:after="40"/>
      </w:pPr>
      <w:r>
        <w:t>Show Location Intelligence: rank an underserved cell and explain why the score is high.</w:t>
      </w:r>
    </w:p>
    <w:p>
      <w:pPr>
        <w:pStyle w:val="ListNumber"/>
        <w:spacing w:after="40"/>
      </w:pPr>
      <w:r>
        <w:t>Show Model &amp; Governance panel: synthetic-data badge, model version, fairness/quality metrics and security controls.</w:t>
      </w:r>
    </w:p>
    <w:p>
      <w:pPr>
        <w:pStyle w:val="ListNumber"/>
        <w:spacing w:after="40"/>
      </w:pPr>
      <w:r>
        <w:t>Close with feedback loop: action outcome becomes validation evidence, demonstrating path from AI signal to measurable impact.</w:t>
      </w:r>
    </w:p>
    <w:p>
      <w:pPr>
        <w:pStyle w:val="Title"/>
      </w:pPr>
      <w:r>
        <w:t>Appendix D. Requirement Prioritization for Build Sprint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0233F"/>
          </w:tcPr>
          <w:p>
            <w:pPr>
              <w:spacing w:after="20"/>
            </w:pPr>
            <w:r/>
            <w:r>
              <w:rPr>
                <w:b/>
                <w:color w:val="FFFFFF"/>
                <w:sz w:val="16"/>
              </w:rPr>
              <w:t>Tier</w:t>
            </w:r>
          </w:p>
        </w:tc>
        <w:tc>
          <w:tcPr>
            <w:tcW w:type="dxa" w:w="5083"/>
            <w:vAlign w:val="center"/>
            <w:shd w:fill="10233F"/>
          </w:tcPr>
          <w:p>
            <w:pPr>
              <w:spacing w:after="20"/>
            </w:pPr>
            <w:r/>
            <w:r>
              <w:rPr>
                <w:b/>
                <w:color w:val="FFFFFF"/>
                <w:sz w:val="16"/>
              </w:rPr>
              <w:t>Build focus</w:t>
            </w:r>
          </w:p>
        </w:tc>
      </w:tr>
      <w:tr>
        <w:tc>
          <w:tcPr>
            <w:tcW w:type="dxa" w:w="5083"/>
            <w:vAlign w:val="center"/>
          </w:tcPr>
          <w:p>
            <w:pPr>
              <w:spacing w:after="20"/>
            </w:pPr>
            <w:r/>
            <w:r>
              <w:rPr>
                <w:b w:val="0"/>
                <w:color w:val="172033"/>
                <w:sz w:val="15"/>
              </w:rPr>
              <w:t>Tier 1 — Must demo</w:t>
            </w:r>
          </w:p>
        </w:tc>
        <w:tc>
          <w:tcPr>
            <w:tcW w:type="dxa" w:w="5083"/>
            <w:vAlign w:val="center"/>
          </w:tcPr>
          <w:p>
            <w:pPr>
              <w:spacing w:after="20"/>
            </w:pPr>
            <w:r/>
            <w:r>
              <w:rPr>
                <w:b w:val="0"/>
                <w:color w:val="172033"/>
                <w:sz w:val="15"/>
              </w:rPr>
              <w:t>Auth/RBAC; command center; merchant forecast/churn/benchmark; agent liquidity; action center; explanations; synthetic pipeline.</w:t>
            </w:r>
          </w:p>
        </w:tc>
      </w:tr>
      <w:tr>
        <w:tc>
          <w:tcPr>
            <w:tcW w:type="dxa" w:w="5083"/>
            <w:vAlign w:val="center"/>
            <w:shd w:fill="F7F9FC"/>
          </w:tcPr>
          <w:p>
            <w:pPr>
              <w:spacing w:after="20"/>
            </w:pPr>
            <w:r/>
            <w:r>
              <w:rPr>
                <w:b w:val="0"/>
                <w:color w:val="172033"/>
                <w:sz w:val="15"/>
              </w:rPr>
              <w:t>Tier 2 — Differentiator</w:t>
            </w:r>
          </w:p>
        </w:tc>
        <w:tc>
          <w:tcPr>
            <w:tcW w:type="dxa" w:w="5083"/>
            <w:vAlign w:val="center"/>
            <w:shd w:fill="F7F9FC"/>
          </w:tcPr>
          <w:p>
            <w:pPr>
              <w:spacing w:after="20"/>
            </w:pPr>
            <w:r/>
            <w:r>
              <w:rPr>
                <w:b w:val="0"/>
                <w:color w:val="172033"/>
                <w:sz w:val="15"/>
              </w:rPr>
              <w:t>Location intelligence map; agent anomaly/performance; merchant growth ranking; what-if simulator.</w:t>
            </w:r>
          </w:p>
        </w:tc>
      </w:tr>
      <w:tr>
        <w:tc>
          <w:tcPr>
            <w:tcW w:type="dxa" w:w="5083"/>
            <w:vAlign w:val="center"/>
          </w:tcPr>
          <w:p>
            <w:pPr>
              <w:spacing w:after="20"/>
            </w:pPr>
            <w:r/>
            <w:r>
              <w:rPr>
                <w:b w:val="0"/>
                <w:color w:val="172033"/>
                <w:sz w:val="15"/>
              </w:rPr>
              <w:t>Tier 3 — Production proof</w:t>
            </w:r>
          </w:p>
        </w:tc>
        <w:tc>
          <w:tcPr>
            <w:tcW w:type="dxa" w:w="5083"/>
            <w:vAlign w:val="center"/>
          </w:tcPr>
          <w:p>
            <w:pPr>
              <w:spacing w:after="20"/>
            </w:pPr>
            <w:r/>
            <w:r>
              <w:rPr>
                <w:b w:val="0"/>
                <w:color w:val="172033"/>
                <w:sz w:val="15"/>
              </w:rPr>
              <w:t>MLOps dashboard; advanced drift/fairness; export; notification; richer 3D storytelling.</w:t>
            </w:r>
          </w:p>
        </w:tc>
      </w:tr>
    </w:tbl>
    <w:p>
      <w:pPr>
        <w:spacing w:after="20"/>
      </w:pPr>
    </w:p>
    <w:p/>
    <w:tbl>
      <w:tblPr>
        <w:tblStyle w:val="TableGrid"/>
        <w:tblW w:type="auto" w:w="0"/>
        <w:jc w:val="center"/>
        <w:tblLook w:firstColumn="1" w:firstRow="1" w:lastColumn="0" w:lastRow="0" w:noHBand="0" w:noVBand="1" w:val="04A0"/>
      </w:tblPr>
      <w:tblGrid>
        <w:gridCol w:w="10166"/>
      </w:tblGrid>
      <w:tr>
        <w:tc>
          <w:tcPr>
            <w:tcW w:type="dxa" w:w="10166"/>
            <w:shd w:fill="E8F7F4"/>
          </w:tcPr>
          <w:p>
            <w:r/>
            <w:r>
              <w:rPr>
                <w:b/>
                <w:color w:val="1F5EFF"/>
              </w:rPr>
              <w:t xml:space="preserve">FINAL PRODUCT PRINCIPLE  </w:t>
            </w:r>
            <w:r>
              <w:rPr>
                <w:color w:val="172033"/>
                <w:sz w:val="18"/>
              </w:rPr>
              <w:t>The strongest version of this project is not “seven AI models on seven charts.” It is one coherent operating system where intelligence predicts what is likely to happen, explains why, recommends a safe action, lets a human decide, and measures what happened next.</w:t>
            </w:r>
          </w:p>
        </w:tc>
      </w:tr>
    </w:tbl>
    <w:p>
      <w:pPr>
        <w:spacing w:after="20"/>
      </w:pPr>
    </w:p>
    <w:p>
      <w:r>
        <w:br w:type="page"/>
      </w:r>
    </w:p>
    <w:p>
      <w:pPr>
        <w:pStyle w:val="Title"/>
      </w:pPr>
      <w:r>
        <w:t>18. Complete Product Feature Catalogue</w:t>
      </w:r>
    </w:p>
    <w:p>
      <w:r>
        <w:t>This section is the implementation-level feature contract. A coding agent should treat every Must item as required for the competition build unless a later sprint-priority decision explicitly defers it. Features are organized around decisions and actions, not around charts.</w:t>
      </w:r>
    </w:p>
    <w:p>
      <w:pPr>
        <w:pStyle w:val="Heading1"/>
      </w:pPr>
      <w:r>
        <w:t>18.1 Global Platform &amp; Command Center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0233F"/>
          </w:tcPr>
          <w:p>
            <w:pPr>
              <w:spacing w:after="20"/>
            </w:pPr>
            <w:r/>
            <w:r>
              <w:rPr>
                <w:b/>
                <w:color w:val="FFFFFF"/>
                <w:sz w:val="15"/>
              </w:rPr>
              <w:t>ID</w:t>
            </w:r>
          </w:p>
        </w:tc>
        <w:tc>
          <w:tcPr>
            <w:tcW w:type="dxa" w:w="2541"/>
            <w:shd w:fill="10233F"/>
          </w:tcPr>
          <w:p>
            <w:pPr>
              <w:spacing w:after="20"/>
            </w:pPr>
            <w:r/>
            <w:r>
              <w:rPr>
                <w:b/>
                <w:color w:val="FFFFFF"/>
                <w:sz w:val="15"/>
              </w:rPr>
              <w:t>Feature</w:t>
            </w:r>
          </w:p>
        </w:tc>
        <w:tc>
          <w:tcPr>
            <w:tcW w:type="dxa" w:w="2541"/>
            <w:shd w:fill="10233F"/>
          </w:tcPr>
          <w:p>
            <w:pPr>
              <w:spacing w:after="20"/>
            </w:pPr>
            <w:r/>
            <w:r>
              <w:rPr>
                <w:b/>
                <w:color w:val="FFFFFF"/>
                <w:sz w:val="15"/>
              </w:rPr>
              <w:t>Detailed behavior</w:t>
            </w:r>
          </w:p>
        </w:tc>
        <w:tc>
          <w:tcPr>
            <w:tcW w:type="dxa" w:w="2541"/>
            <w:shd w:fill="10233F"/>
          </w:tcPr>
          <w:p>
            <w:pPr>
              <w:spacing w:after="20"/>
            </w:pPr>
            <w:r/>
            <w:r>
              <w:rPr>
                <w:b/>
                <w:color w:val="FFFFFF"/>
                <w:sz w:val="15"/>
              </w:rPr>
              <w:t>Priority</w:t>
            </w:r>
          </w:p>
        </w:tc>
      </w:tr>
      <w:tr>
        <w:tc>
          <w:tcPr>
            <w:tcW w:type="dxa" w:w="2541"/>
          </w:tcPr>
          <w:p>
            <w:pPr>
              <w:spacing w:after="20"/>
            </w:pPr>
            <w:r/>
            <w:r>
              <w:rPr>
                <w:b w:val="0"/>
                <w:color w:val="172033"/>
                <w:sz w:val="15"/>
              </w:rPr>
              <w:t>PF-001</w:t>
            </w:r>
          </w:p>
        </w:tc>
        <w:tc>
          <w:tcPr>
            <w:tcW w:type="dxa" w:w="2541"/>
          </w:tcPr>
          <w:p>
            <w:pPr>
              <w:spacing w:after="20"/>
            </w:pPr>
            <w:r/>
            <w:r>
              <w:rPr>
                <w:b w:val="0"/>
                <w:color w:val="172033"/>
                <w:sz w:val="15"/>
              </w:rPr>
              <w:t>Executive Intelligence Pulse</w:t>
            </w:r>
          </w:p>
        </w:tc>
        <w:tc>
          <w:tcPr>
            <w:tcW w:type="dxa" w:w="2541"/>
          </w:tcPr>
          <w:p>
            <w:pPr>
              <w:spacing w:after="20"/>
            </w:pPr>
            <w:r/>
            <w:r>
              <w:rPr>
                <w:b w:val="0"/>
                <w:color w:val="172033"/>
                <w:sz w:val="15"/>
              </w:rPr>
              <w:t>Top KPIs: transaction demand, merchants at churn risk, agents under liquidity pressure, active anomalies, open interventions and coverage opportunities.</w:t>
            </w:r>
          </w:p>
        </w:tc>
        <w:tc>
          <w:tcPr>
            <w:tcW w:type="dxa" w:w="2541"/>
          </w:tcPr>
          <w:p>
            <w:pPr>
              <w:spacing w:after="20"/>
            </w:pPr>
            <w:r/>
            <w:r>
              <w:rPr>
                <w:b w:val="0"/>
                <w:color w:val="172033"/>
                <w:sz w:val="15"/>
              </w:rPr>
              <w:t>Must</w:t>
            </w:r>
          </w:p>
        </w:tc>
      </w:tr>
      <w:tr>
        <w:tc>
          <w:tcPr>
            <w:tcW w:type="dxa" w:w="2541"/>
            <w:shd w:fill="F7F9FC"/>
          </w:tcPr>
          <w:p>
            <w:pPr>
              <w:spacing w:after="20"/>
            </w:pPr>
            <w:r/>
            <w:r>
              <w:rPr>
                <w:b w:val="0"/>
                <w:color w:val="172033"/>
                <w:sz w:val="15"/>
              </w:rPr>
              <w:t>PF-002</w:t>
            </w:r>
          </w:p>
        </w:tc>
        <w:tc>
          <w:tcPr>
            <w:tcW w:type="dxa" w:w="2541"/>
            <w:shd w:fill="F7F9FC"/>
          </w:tcPr>
          <w:p>
            <w:pPr>
              <w:spacing w:after="20"/>
            </w:pPr>
            <w:r/>
            <w:r>
              <w:rPr>
                <w:b w:val="0"/>
                <w:color w:val="172033"/>
                <w:sz w:val="15"/>
              </w:rPr>
              <w:t>Priority Action Queue</w:t>
            </w:r>
          </w:p>
        </w:tc>
        <w:tc>
          <w:tcPr>
            <w:tcW w:type="dxa" w:w="2541"/>
            <w:shd w:fill="F7F9FC"/>
          </w:tcPr>
          <w:p>
            <w:pPr>
              <w:spacing w:after="20"/>
            </w:pPr>
            <w:r/>
            <w:r>
              <w:rPr>
                <w:b w:val="0"/>
                <w:color w:val="172033"/>
                <w:sz w:val="15"/>
              </w:rPr>
              <w:t>Unified ranked queue combining severity, business impact, confidence, urgency and SLA; assign, acknowledge, snooze, escalate and close.</w:t>
            </w:r>
          </w:p>
        </w:tc>
        <w:tc>
          <w:tcPr>
            <w:tcW w:type="dxa" w:w="2541"/>
            <w:shd w:fill="F7F9FC"/>
          </w:tcPr>
          <w:p>
            <w:pPr>
              <w:spacing w:after="20"/>
            </w:pPr>
            <w:r/>
            <w:r>
              <w:rPr>
                <w:b w:val="0"/>
                <w:color w:val="172033"/>
                <w:sz w:val="15"/>
              </w:rPr>
              <w:t>Must</w:t>
            </w:r>
          </w:p>
        </w:tc>
      </w:tr>
      <w:tr>
        <w:tc>
          <w:tcPr>
            <w:tcW w:type="dxa" w:w="2541"/>
          </w:tcPr>
          <w:p>
            <w:pPr>
              <w:spacing w:after="20"/>
            </w:pPr>
            <w:r/>
            <w:r>
              <w:rPr>
                <w:b w:val="0"/>
                <w:color w:val="172033"/>
                <w:sz w:val="15"/>
              </w:rPr>
              <w:t>PF-003</w:t>
            </w:r>
          </w:p>
        </w:tc>
        <w:tc>
          <w:tcPr>
            <w:tcW w:type="dxa" w:w="2541"/>
          </w:tcPr>
          <w:p>
            <w:pPr>
              <w:spacing w:after="20"/>
            </w:pPr>
            <w:r/>
            <w:r>
              <w:rPr>
                <w:b w:val="0"/>
                <w:color w:val="172033"/>
                <w:sz w:val="15"/>
              </w:rPr>
              <w:t>Live Ecosystem Map</w:t>
            </w:r>
          </w:p>
        </w:tc>
        <w:tc>
          <w:tcPr>
            <w:tcW w:type="dxa" w:w="2541"/>
          </w:tcPr>
          <w:p>
            <w:pPr>
              <w:spacing w:after="20"/>
            </w:pPr>
            <w:r/>
            <w:r>
              <w:rPr>
                <w:b w:val="0"/>
                <w:color w:val="172033"/>
                <w:sz w:val="15"/>
              </w:rPr>
              <w:t>Map merchant/agent nodes, demand intensity, liquidity pressure, anomalies and opportunity cells with layer toggles and drill-down.</w:t>
            </w:r>
          </w:p>
        </w:tc>
        <w:tc>
          <w:tcPr>
            <w:tcW w:type="dxa" w:w="2541"/>
          </w:tcPr>
          <w:p>
            <w:pPr>
              <w:spacing w:after="20"/>
            </w:pPr>
            <w:r/>
            <w:r>
              <w:rPr>
                <w:b w:val="0"/>
                <w:color w:val="172033"/>
                <w:sz w:val="15"/>
              </w:rPr>
              <w:t>Must</w:t>
            </w:r>
          </w:p>
        </w:tc>
      </w:tr>
      <w:tr>
        <w:tc>
          <w:tcPr>
            <w:tcW w:type="dxa" w:w="2541"/>
            <w:shd w:fill="F7F9FC"/>
          </w:tcPr>
          <w:p>
            <w:pPr>
              <w:spacing w:after="20"/>
            </w:pPr>
            <w:r/>
            <w:r>
              <w:rPr>
                <w:b w:val="0"/>
                <w:color w:val="172033"/>
                <w:sz w:val="15"/>
              </w:rPr>
              <w:t>PF-004</w:t>
            </w:r>
          </w:p>
        </w:tc>
        <w:tc>
          <w:tcPr>
            <w:tcW w:type="dxa" w:w="2541"/>
            <w:shd w:fill="F7F9FC"/>
          </w:tcPr>
          <w:p>
            <w:pPr>
              <w:spacing w:after="20"/>
            </w:pPr>
            <w:r/>
            <w:r>
              <w:rPr>
                <w:b w:val="0"/>
                <w:color w:val="172033"/>
                <w:sz w:val="15"/>
              </w:rPr>
              <w:t>AI Insight Feed</w:t>
            </w:r>
          </w:p>
        </w:tc>
        <w:tc>
          <w:tcPr>
            <w:tcW w:type="dxa" w:w="2541"/>
            <w:shd w:fill="F7F9FC"/>
          </w:tcPr>
          <w:p>
            <w:pPr>
              <w:spacing w:after="20"/>
            </w:pPr>
            <w:r/>
            <w:r>
              <w:rPr>
                <w:b w:val="0"/>
                <w:color w:val="172033"/>
                <w:sz w:val="15"/>
              </w:rPr>
              <w:t>Human-readable cards: what changed, why it matters, confidence, evidence, recommended action and owner.</w:t>
            </w:r>
          </w:p>
        </w:tc>
        <w:tc>
          <w:tcPr>
            <w:tcW w:type="dxa" w:w="2541"/>
            <w:shd w:fill="F7F9FC"/>
          </w:tcPr>
          <w:p>
            <w:pPr>
              <w:spacing w:after="20"/>
            </w:pPr>
            <w:r/>
            <w:r>
              <w:rPr>
                <w:b w:val="0"/>
                <w:color w:val="172033"/>
                <w:sz w:val="15"/>
              </w:rPr>
              <w:t>Must</w:t>
            </w:r>
          </w:p>
        </w:tc>
      </w:tr>
      <w:tr>
        <w:tc>
          <w:tcPr>
            <w:tcW w:type="dxa" w:w="2541"/>
          </w:tcPr>
          <w:p>
            <w:pPr>
              <w:spacing w:after="20"/>
            </w:pPr>
            <w:r/>
            <w:r>
              <w:rPr>
                <w:b w:val="0"/>
                <w:color w:val="172033"/>
                <w:sz w:val="15"/>
              </w:rPr>
              <w:t>PF-005</w:t>
            </w:r>
          </w:p>
        </w:tc>
        <w:tc>
          <w:tcPr>
            <w:tcW w:type="dxa" w:w="2541"/>
          </w:tcPr>
          <w:p>
            <w:pPr>
              <w:spacing w:after="20"/>
            </w:pPr>
            <w:r/>
            <w:r>
              <w:rPr>
                <w:b w:val="0"/>
                <w:color w:val="172033"/>
                <w:sz w:val="15"/>
              </w:rPr>
              <w:t>Global Search / Command Palette</w:t>
            </w:r>
          </w:p>
        </w:tc>
        <w:tc>
          <w:tcPr>
            <w:tcW w:type="dxa" w:w="2541"/>
          </w:tcPr>
          <w:p>
            <w:pPr>
              <w:spacing w:after="20"/>
            </w:pPr>
            <w:r/>
            <w:r>
              <w:rPr>
                <w:b w:val="0"/>
                <w:color w:val="172033"/>
                <w:sz w:val="15"/>
              </w:rPr>
              <w:t>Search merchant, agent, region, intervention and model; keyboard shortcut opens command palette.</w:t>
            </w:r>
          </w:p>
        </w:tc>
        <w:tc>
          <w:tcPr>
            <w:tcW w:type="dxa" w:w="2541"/>
          </w:tcPr>
          <w:p>
            <w:pPr>
              <w:spacing w:after="20"/>
            </w:pPr>
            <w:r/>
            <w:r>
              <w:rPr>
                <w:b w:val="0"/>
                <w:color w:val="172033"/>
                <w:sz w:val="15"/>
              </w:rPr>
              <w:t>Should</w:t>
            </w:r>
          </w:p>
        </w:tc>
      </w:tr>
      <w:tr>
        <w:tc>
          <w:tcPr>
            <w:tcW w:type="dxa" w:w="2541"/>
            <w:shd w:fill="F7F9FC"/>
          </w:tcPr>
          <w:p>
            <w:pPr>
              <w:spacing w:after="20"/>
            </w:pPr>
            <w:r/>
            <w:r>
              <w:rPr>
                <w:b w:val="0"/>
                <w:color w:val="172033"/>
                <w:sz w:val="15"/>
              </w:rPr>
              <w:t>PF-006</w:t>
            </w:r>
          </w:p>
        </w:tc>
        <w:tc>
          <w:tcPr>
            <w:tcW w:type="dxa" w:w="2541"/>
            <w:shd w:fill="F7F9FC"/>
          </w:tcPr>
          <w:p>
            <w:pPr>
              <w:spacing w:after="20"/>
            </w:pPr>
            <w:r/>
            <w:r>
              <w:rPr>
                <w:b w:val="0"/>
                <w:color w:val="172033"/>
                <w:sz w:val="15"/>
              </w:rPr>
              <w:t>Time &amp; Region Filters</w:t>
            </w:r>
          </w:p>
        </w:tc>
        <w:tc>
          <w:tcPr>
            <w:tcW w:type="dxa" w:w="2541"/>
            <w:shd w:fill="F7F9FC"/>
          </w:tcPr>
          <w:p>
            <w:pPr>
              <w:spacing w:after="20"/>
            </w:pPr>
            <w:r/>
            <w:r>
              <w:rPr>
                <w:b w:val="0"/>
                <w:color w:val="172033"/>
                <w:sz w:val="15"/>
              </w:rPr>
              <w:t>Global date, region, category and entity-type filters persist across authorized views.</w:t>
            </w:r>
          </w:p>
        </w:tc>
        <w:tc>
          <w:tcPr>
            <w:tcW w:type="dxa" w:w="2541"/>
            <w:shd w:fill="F7F9FC"/>
          </w:tcPr>
          <w:p>
            <w:pPr>
              <w:spacing w:after="20"/>
            </w:pPr>
            <w:r/>
            <w:r>
              <w:rPr>
                <w:b w:val="0"/>
                <w:color w:val="172033"/>
                <w:sz w:val="15"/>
              </w:rPr>
              <w:t>Must</w:t>
            </w:r>
          </w:p>
        </w:tc>
      </w:tr>
      <w:tr>
        <w:tc>
          <w:tcPr>
            <w:tcW w:type="dxa" w:w="2541"/>
          </w:tcPr>
          <w:p>
            <w:pPr>
              <w:spacing w:after="20"/>
            </w:pPr>
            <w:r/>
            <w:r>
              <w:rPr>
                <w:b w:val="0"/>
                <w:color w:val="172033"/>
                <w:sz w:val="15"/>
              </w:rPr>
              <w:t>PF-007</w:t>
            </w:r>
          </w:p>
        </w:tc>
        <w:tc>
          <w:tcPr>
            <w:tcW w:type="dxa" w:w="2541"/>
          </w:tcPr>
          <w:p>
            <w:pPr>
              <w:spacing w:after="20"/>
            </w:pPr>
            <w:r/>
            <w:r>
              <w:rPr>
                <w:b w:val="0"/>
                <w:color w:val="172033"/>
                <w:sz w:val="15"/>
              </w:rPr>
              <w:t>Scenario Demo Switcher</w:t>
            </w:r>
          </w:p>
        </w:tc>
        <w:tc>
          <w:tcPr>
            <w:tcW w:type="dxa" w:w="2541"/>
          </w:tcPr>
          <w:p>
            <w:pPr>
              <w:spacing w:after="20"/>
            </w:pPr>
            <w:r/>
            <w:r>
              <w:rPr>
                <w:b w:val="0"/>
                <w:color w:val="172033"/>
                <w:sz w:val="15"/>
              </w:rPr>
              <w:t>Seeded scenarios: festival surge, merchant churn cluster, liquidity shortage, abnormal agent, underserved area.</w:t>
            </w:r>
          </w:p>
        </w:tc>
        <w:tc>
          <w:tcPr>
            <w:tcW w:type="dxa" w:w="2541"/>
          </w:tcPr>
          <w:p>
            <w:pPr>
              <w:spacing w:after="20"/>
            </w:pPr>
            <w:r/>
            <w:r>
              <w:rPr>
                <w:b w:val="0"/>
                <w:color w:val="172033"/>
                <w:sz w:val="15"/>
              </w:rPr>
              <w:t>Should</w:t>
            </w:r>
          </w:p>
        </w:tc>
      </w:tr>
    </w:tbl>
    <w:p>
      <w:pPr>
        <w:spacing w:after="20"/>
      </w:pPr>
    </w:p>
    <w:p>
      <w:pPr>
        <w:pStyle w:val="Heading1"/>
      </w:pPr>
      <w:r>
        <w:t>18.2 Merchant Intelligence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0233F"/>
          </w:tcPr>
          <w:p>
            <w:pPr>
              <w:spacing w:after="20"/>
            </w:pPr>
            <w:r/>
            <w:r>
              <w:rPr>
                <w:b/>
                <w:color w:val="FFFFFF"/>
                <w:sz w:val="15"/>
              </w:rPr>
              <w:t>ID</w:t>
            </w:r>
          </w:p>
        </w:tc>
        <w:tc>
          <w:tcPr>
            <w:tcW w:type="dxa" w:w="2541"/>
            <w:shd w:fill="10233F"/>
          </w:tcPr>
          <w:p>
            <w:pPr>
              <w:spacing w:after="20"/>
            </w:pPr>
            <w:r/>
            <w:r>
              <w:rPr>
                <w:b/>
                <w:color w:val="FFFFFF"/>
                <w:sz w:val="15"/>
              </w:rPr>
              <w:t>Feature</w:t>
            </w:r>
          </w:p>
        </w:tc>
        <w:tc>
          <w:tcPr>
            <w:tcW w:type="dxa" w:w="2541"/>
            <w:shd w:fill="10233F"/>
          </w:tcPr>
          <w:p>
            <w:pPr>
              <w:spacing w:after="20"/>
            </w:pPr>
            <w:r/>
            <w:r>
              <w:rPr>
                <w:b/>
                <w:color w:val="FFFFFF"/>
                <w:sz w:val="15"/>
              </w:rPr>
              <w:t>Detailed behavior</w:t>
            </w:r>
          </w:p>
        </w:tc>
        <w:tc>
          <w:tcPr>
            <w:tcW w:type="dxa" w:w="2541"/>
            <w:shd w:fill="10233F"/>
          </w:tcPr>
          <w:p>
            <w:pPr>
              <w:spacing w:after="20"/>
            </w:pPr>
            <w:r/>
            <w:r>
              <w:rPr>
                <w:b/>
                <w:color w:val="FFFFFF"/>
                <w:sz w:val="15"/>
              </w:rPr>
              <w:t>Priority</w:t>
            </w:r>
          </w:p>
        </w:tc>
      </w:tr>
      <w:tr>
        <w:tc>
          <w:tcPr>
            <w:tcW w:type="dxa" w:w="2541"/>
          </w:tcPr>
          <w:p>
            <w:pPr>
              <w:spacing w:after="20"/>
            </w:pPr>
            <w:r/>
            <w:r>
              <w:rPr>
                <w:b w:val="0"/>
                <w:color w:val="172033"/>
                <w:sz w:val="15"/>
              </w:rPr>
              <w:t>PF-101</w:t>
            </w:r>
          </w:p>
        </w:tc>
        <w:tc>
          <w:tcPr>
            <w:tcW w:type="dxa" w:w="2541"/>
          </w:tcPr>
          <w:p>
            <w:pPr>
              <w:spacing w:after="20"/>
            </w:pPr>
            <w:r/>
            <w:r>
              <w:rPr>
                <w:b w:val="0"/>
                <w:color w:val="172033"/>
                <w:sz w:val="15"/>
              </w:rPr>
              <w:t>Merchant 360 Profile</w:t>
            </w:r>
          </w:p>
        </w:tc>
        <w:tc>
          <w:tcPr>
            <w:tcW w:type="dxa" w:w="2541"/>
          </w:tcPr>
          <w:p>
            <w:pPr>
              <w:spacing w:after="20"/>
            </w:pPr>
            <w:r/>
            <w:r>
              <w:rPr>
                <w:b w:val="0"/>
                <w:color w:val="172033"/>
                <w:sz w:val="15"/>
              </w:rPr>
              <w:t>Identity, category, region, lifecycle, transaction trend, service mix, risk/opportunity, recommendations and intervention history.</w:t>
            </w:r>
          </w:p>
        </w:tc>
        <w:tc>
          <w:tcPr>
            <w:tcW w:type="dxa" w:w="2541"/>
          </w:tcPr>
          <w:p>
            <w:pPr>
              <w:spacing w:after="20"/>
            </w:pPr>
            <w:r/>
            <w:r>
              <w:rPr>
                <w:b w:val="0"/>
                <w:color w:val="172033"/>
                <w:sz w:val="15"/>
              </w:rPr>
              <w:t>Must</w:t>
            </w:r>
          </w:p>
        </w:tc>
      </w:tr>
      <w:tr>
        <w:tc>
          <w:tcPr>
            <w:tcW w:type="dxa" w:w="2541"/>
            <w:shd w:fill="F7F9FC"/>
          </w:tcPr>
          <w:p>
            <w:pPr>
              <w:spacing w:after="20"/>
            </w:pPr>
            <w:r/>
            <w:r>
              <w:rPr>
                <w:b w:val="0"/>
                <w:color w:val="172033"/>
                <w:sz w:val="15"/>
              </w:rPr>
              <w:t>PF-102</w:t>
            </w:r>
          </w:p>
        </w:tc>
        <w:tc>
          <w:tcPr>
            <w:tcW w:type="dxa" w:w="2541"/>
            <w:shd w:fill="F7F9FC"/>
          </w:tcPr>
          <w:p>
            <w:pPr>
              <w:spacing w:after="20"/>
            </w:pPr>
            <w:r/>
            <w:r>
              <w:rPr>
                <w:b w:val="0"/>
                <w:color w:val="172033"/>
                <w:sz w:val="15"/>
              </w:rPr>
              <w:t>Demand Forecast Explorer</w:t>
            </w:r>
          </w:p>
        </w:tc>
        <w:tc>
          <w:tcPr>
            <w:tcW w:type="dxa" w:w="2541"/>
            <w:shd w:fill="F7F9FC"/>
          </w:tcPr>
          <w:p>
            <w:pPr>
              <w:spacing w:after="20"/>
            </w:pPr>
            <w:r/>
            <w:r>
              <w:rPr>
                <w:b w:val="0"/>
                <w:color w:val="172033"/>
                <w:sz w:val="15"/>
              </w:rPr>
              <w:t>Hourly/daily count/value forecast; actual-vs-forecast; uncertainty band; peak-period detection; category/location comparison.</w:t>
            </w:r>
          </w:p>
        </w:tc>
        <w:tc>
          <w:tcPr>
            <w:tcW w:type="dxa" w:w="2541"/>
            <w:shd w:fill="F7F9FC"/>
          </w:tcPr>
          <w:p>
            <w:pPr>
              <w:spacing w:after="20"/>
            </w:pPr>
            <w:r/>
            <w:r>
              <w:rPr>
                <w:b w:val="0"/>
                <w:color w:val="172033"/>
                <w:sz w:val="15"/>
              </w:rPr>
              <w:t>Must</w:t>
            </w:r>
          </w:p>
        </w:tc>
      </w:tr>
      <w:tr>
        <w:tc>
          <w:tcPr>
            <w:tcW w:type="dxa" w:w="2541"/>
          </w:tcPr>
          <w:p>
            <w:pPr>
              <w:spacing w:after="20"/>
            </w:pPr>
            <w:r/>
            <w:r>
              <w:rPr>
                <w:b w:val="0"/>
                <w:color w:val="172033"/>
                <w:sz w:val="15"/>
              </w:rPr>
              <w:t>PF-103</w:t>
            </w:r>
          </w:p>
        </w:tc>
        <w:tc>
          <w:tcPr>
            <w:tcW w:type="dxa" w:w="2541"/>
          </w:tcPr>
          <w:p>
            <w:pPr>
              <w:spacing w:after="20"/>
            </w:pPr>
            <w:r/>
            <w:r>
              <w:rPr>
                <w:b w:val="0"/>
                <w:color w:val="172033"/>
                <w:sz w:val="15"/>
              </w:rPr>
              <w:t>Churn Early Warning</w:t>
            </w:r>
          </w:p>
        </w:tc>
        <w:tc>
          <w:tcPr>
            <w:tcW w:type="dxa" w:w="2541"/>
          </w:tcPr>
          <w:p>
            <w:pPr>
              <w:spacing w:after="20"/>
            </w:pPr>
            <w:r/>
            <w:r>
              <w:rPr>
                <w:b w:val="0"/>
                <w:color w:val="172033"/>
                <w:sz w:val="15"/>
              </w:rPr>
              <w:t>Risk probability, risk band, trajectory, top drivers, similar historical pattern and intervention CTA.</w:t>
            </w:r>
          </w:p>
        </w:tc>
        <w:tc>
          <w:tcPr>
            <w:tcW w:type="dxa" w:w="2541"/>
          </w:tcPr>
          <w:p>
            <w:pPr>
              <w:spacing w:after="20"/>
            </w:pPr>
            <w:r/>
            <w:r>
              <w:rPr>
                <w:b w:val="0"/>
                <w:color w:val="172033"/>
                <w:sz w:val="15"/>
              </w:rPr>
              <w:t>Must</w:t>
            </w:r>
          </w:p>
        </w:tc>
      </w:tr>
      <w:tr>
        <w:tc>
          <w:tcPr>
            <w:tcW w:type="dxa" w:w="2541"/>
            <w:shd w:fill="F7F9FC"/>
          </w:tcPr>
          <w:p>
            <w:pPr>
              <w:spacing w:after="20"/>
            </w:pPr>
            <w:r/>
            <w:r>
              <w:rPr>
                <w:b w:val="0"/>
                <w:color w:val="172033"/>
                <w:sz w:val="15"/>
              </w:rPr>
              <w:t>PF-104</w:t>
            </w:r>
          </w:p>
        </w:tc>
        <w:tc>
          <w:tcPr>
            <w:tcW w:type="dxa" w:w="2541"/>
            <w:shd w:fill="F7F9FC"/>
          </w:tcPr>
          <w:p>
            <w:pPr>
              <w:spacing w:after="20"/>
            </w:pPr>
            <w:r/>
            <w:r>
              <w:rPr>
                <w:b w:val="0"/>
                <w:color w:val="172033"/>
                <w:sz w:val="15"/>
              </w:rPr>
              <w:t>Peer Benchmark Studio</w:t>
            </w:r>
          </w:p>
        </w:tc>
        <w:tc>
          <w:tcPr>
            <w:tcW w:type="dxa" w:w="2541"/>
            <w:shd w:fill="F7F9FC"/>
          </w:tcPr>
          <w:p>
            <w:pPr>
              <w:spacing w:after="20"/>
            </w:pPr>
            <w:r/>
            <w:r>
              <w:rPr>
                <w:b w:val="0"/>
                <w:color w:val="172033"/>
                <w:sz w:val="15"/>
              </w:rPr>
              <w:t>Percentile cards and radar/bar comparison against anonymized comparable cohort; explain cohort definition and gaps.</w:t>
            </w:r>
          </w:p>
        </w:tc>
        <w:tc>
          <w:tcPr>
            <w:tcW w:type="dxa" w:w="2541"/>
            <w:shd w:fill="F7F9FC"/>
          </w:tcPr>
          <w:p>
            <w:pPr>
              <w:spacing w:after="20"/>
            </w:pPr>
            <w:r/>
            <w:r>
              <w:rPr>
                <w:b w:val="0"/>
                <w:color w:val="172033"/>
                <w:sz w:val="15"/>
              </w:rPr>
              <w:t>Must</w:t>
            </w:r>
          </w:p>
        </w:tc>
      </w:tr>
      <w:tr>
        <w:tc>
          <w:tcPr>
            <w:tcW w:type="dxa" w:w="2541"/>
          </w:tcPr>
          <w:p>
            <w:pPr>
              <w:spacing w:after="20"/>
            </w:pPr>
            <w:r/>
            <w:r>
              <w:rPr>
                <w:b w:val="0"/>
                <w:color w:val="172033"/>
                <w:sz w:val="15"/>
              </w:rPr>
              <w:t>PF-105</w:t>
            </w:r>
          </w:p>
        </w:tc>
        <w:tc>
          <w:tcPr>
            <w:tcW w:type="dxa" w:w="2541"/>
          </w:tcPr>
          <w:p>
            <w:pPr>
              <w:spacing w:after="20"/>
            </w:pPr>
            <w:r/>
            <w:r>
              <w:rPr>
                <w:b w:val="0"/>
                <w:color w:val="172033"/>
                <w:sz w:val="15"/>
              </w:rPr>
              <w:t>Growth Opportunity Engine</w:t>
            </w:r>
          </w:p>
        </w:tc>
        <w:tc>
          <w:tcPr>
            <w:tcW w:type="dxa" w:w="2541"/>
          </w:tcPr>
          <w:p>
            <w:pPr>
              <w:spacing w:after="20"/>
            </w:pPr>
            <w:r/>
            <w:r>
              <w:rPr>
                <w:b w:val="0"/>
                <w:color w:val="172033"/>
                <w:sz w:val="15"/>
              </w:rPr>
              <w:t>Rank actions such as service-mix expansion, peak-hour readiness, repeat-use activation or field support; expected effect clearly marked as estimate.</w:t>
            </w:r>
          </w:p>
        </w:tc>
        <w:tc>
          <w:tcPr>
            <w:tcW w:type="dxa" w:w="2541"/>
          </w:tcPr>
          <w:p>
            <w:pPr>
              <w:spacing w:after="20"/>
            </w:pPr>
            <w:r/>
            <w:r>
              <w:rPr>
                <w:b w:val="0"/>
                <w:color w:val="172033"/>
                <w:sz w:val="15"/>
              </w:rPr>
              <w:t>Must</w:t>
            </w:r>
          </w:p>
        </w:tc>
      </w:tr>
      <w:tr>
        <w:tc>
          <w:tcPr>
            <w:tcW w:type="dxa" w:w="2541"/>
            <w:shd w:fill="F7F9FC"/>
          </w:tcPr>
          <w:p>
            <w:pPr>
              <w:spacing w:after="20"/>
            </w:pPr>
            <w:r/>
            <w:r>
              <w:rPr>
                <w:b w:val="0"/>
                <w:color w:val="172033"/>
                <w:sz w:val="15"/>
              </w:rPr>
              <w:t>PF-106</w:t>
            </w:r>
          </w:p>
        </w:tc>
        <w:tc>
          <w:tcPr>
            <w:tcW w:type="dxa" w:w="2541"/>
            <w:shd w:fill="F7F9FC"/>
          </w:tcPr>
          <w:p>
            <w:pPr>
              <w:spacing w:after="20"/>
            </w:pPr>
            <w:r/>
            <w:r>
              <w:rPr>
                <w:b w:val="0"/>
                <w:color w:val="172033"/>
                <w:sz w:val="15"/>
              </w:rPr>
              <w:t>Merchant Health Score</w:t>
            </w:r>
          </w:p>
        </w:tc>
        <w:tc>
          <w:tcPr>
            <w:tcW w:type="dxa" w:w="2541"/>
            <w:shd w:fill="F7F9FC"/>
          </w:tcPr>
          <w:p>
            <w:pPr>
              <w:spacing w:after="20"/>
            </w:pPr>
            <w:r/>
            <w:r>
              <w:rPr>
                <w:b w:val="0"/>
                <w:color w:val="172033"/>
                <w:sz w:val="15"/>
              </w:rPr>
              <w:t>Composite operational score with transparent sub-scores; never presented as an opaque punitive score.</w:t>
            </w:r>
          </w:p>
        </w:tc>
        <w:tc>
          <w:tcPr>
            <w:tcW w:type="dxa" w:w="2541"/>
            <w:shd w:fill="F7F9FC"/>
          </w:tcPr>
          <w:p>
            <w:pPr>
              <w:spacing w:after="20"/>
            </w:pPr>
            <w:r/>
            <w:r>
              <w:rPr>
                <w:b w:val="0"/>
                <w:color w:val="172033"/>
                <w:sz w:val="15"/>
              </w:rPr>
              <w:t>Should</w:t>
            </w:r>
          </w:p>
        </w:tc>
      </w:tr>
      <w:tr>
        <w:tc>
          <w:tcPr>
            <w:tcW w:type="dxa" w:w="2541"/>
          </w:tcPr>
          <w:p>
            <w:pPr>
              <w:spacing w:after="20"/>
            </w:pPr>
            <w:r/>
            <w:r>
              <w:rPr>
                <w:b w:val="0"/>
                <w:color w:val="172033"/>
                <w:sz w:val="15"/>
              </w:rPr>
              <w:t>PF-107</w:t>
            </w:r>
          </w:p>
        </w:tc>
        <w:tc>
          <w:tcPr>
            <w:tcW w:type="dxa" w:w="2541"/>
          </w:tcPr>
          <w:p>
            <w:pPr>
              <w:spacing w:after="20"/>
            </w:pPr>
            <w:r/>
            <w:r>
              <w:rPr>
                <w:b w:val="0"/>
                <w:color w:val="172033"/>
                <w:sz w:val="15"/>
              </w:rPr>
              <w:t>Merchant Timeline</w:t>
            </w:r>
          </w:p>
        </w:tc>
        <w:tc>
          <w:tcPr>
            <w:tcW w:type="dxa" w:w="2541"/>
          </w:tcPr>
          <w:p>
            <w:pPr>
              <w:spacing w:after="20"/>
            </w:pPr>
            <w:r/>
            <w:r>
              <w:rPr>
                <w:b w:val="0"/>
                <w:color w:val="172033"/>
                <w:sz w:val="15"/>
              </w:rPr>
              <w:t>Chronological view of forecasts, risk changes, recommendations, interventions and outcomes.</w:t>
            </w:r>
          </w:p>
        </w:tc>
        <w:tc>
          <w:tcPr>
            <w:tcW w:type="dxa" w:w="2541"/>
          </w:tcPr>
          <w:p>
            <w:pPr>
              <w:spacing w:after="20"/>
            </w:pPr>
            <w:r/>
            <w:r>
              <w:rPr>
                <w:b w:val="0"/>
                <w:color w:val="172033"/>
                <w:sz w:val="15"/>
              </w:rPr>
              <w:t>Should</w:t>
            </w:r>
          </w:p>
        </w:tc>
      </w:tr>
    </w:tbl>
    <w:p>
      <w:pPr>
        <w:spacing w:after="20"/>
      </w:pPr>
    </w:p>
    <w:p>
      <w:pPr>
        <w:pStyle w:val="Heading1"/>
      </w:pPr>
      <w:r>
        <w:t>18.3 Agent Intelligence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0233F"/>
          </w:tcPr>
          <w:p>
            <w:pPr>
              <w:spacing w:after="20"/>
            </w:pPr>
            <w:r/>
            <w:r>
              <w:rPr>
                <w:b/>
                <w:color w:val="FFFFFF"/>
                <w:sz w:val="15"/>
              </w:rPr>
              <w:t>ID</w:t>
            </w:r>
          </w:p>
        </w:tc>
        <w:tc>
          <w:tcPr>
            <w:tcW w:type="dxa" w:w="2541"/>
            <w:shd w:fill="10233F"/>
          </w:tcPr>
          <w:p>
            <w:pPr>
              <w:spacing w:after="20"/>
            </w:pPr>
            <w:r/>
            <w:r>
              <w:rPr>
                <w:b/>
                <w:color w:val="FFFFFF"/>
                <w:sz w:val="15"/>
              </w:rPr>
              <w:t>Feature</w:t>
            </w:r>
          </w:p>
        </w:tc>
        <w:tc>
          <w:tcPr>
            <w:tcW w:type="dxa" w:w="2541"/>
            <w:shd w:fill="10233F"/>
          </w:tcPr>
          <w:p>
            <w:pPr>
              <w:spacing w:after="20"/>
            </w:pPr>
            <w:r/>
            <w:r>
              <w:rPr>
                <w:b/>
                <w:color w:val="FFFFFF"/>
                <w:sz w:val="15"/>
              </w:rPr>
              <w:t>Detailed behavior</w:t>
            </w:r>
          </w:p>
        </w:tc>
        <w:tc>
          <w:tcPr>
            <w:tcW w:type="dxa" w:w="2541"/>
            <w:shd w:fill="10233F"/>
          </w:tcPr>
          <w:p>
            <w:pPr>
              <w:spacing w:after="20"/>
            </w:pPr>
            <w:r/>
            <w:r>
              <w:rPr>
                <w:b/>
                <w:color w:val="FFFFFF"/>
                <w:sz w:val="15"/>
              </w:rPr>
              <w:t>Priority</w:t>
            </w:r>
          </w:p>
        </w:tc>
      </w:tr>
      <w:tr>
        <w:tc>
          <w:tcPr>
            <w:tcW w:type="dxa" w:w="2541"/>
          </w:tcPr>
          <w:p>
            <w:pPr>
              <w:spacing w:after="20"/>
            </w:pPr>
            <w:r/>
            <w:r>
              <w:rPr>
                <w:b w:val="0"/>
                <w:color w:val="172033"/>
                <w:sz w:val="15"/>
              </w:rPr>
              <w:t>PF-201</w:t>
            </w:r>
          </w:p>
        </w:tc>
        <w:tc>
          <w:tcPr>
            <w:tcW w:type="dxa" w:w="2541"/>
          </w:tcPr>
          <w:p>
            <w:pPr>
              <w:spacing w:after="20"/>
            </w:pPr>
            <w:r/>
            <w:r>
              <w:rPr>
                <w:b w:val="0"/>
                <w:color w:val="172033"/>
                <w:sz w:val="15"/>
              </w:rPr>
              <w:t>Agent 360 Profile</w:t>
            </w:r>
          </w:p>
        </w:tc>
        <w:tc>
          <w:tcPr>
            <w:tcW w:type="dxa" w:w="2541"/>
          </w:tcPr>
          <w:p>
            <w:pPr>
              <w:spacing w:after="20"/>
            </w:pPr>
            <w:r/>
            <w:r>
              <w:rPr>
                <w:b w:val="0"/>
                <w:color w:val="172033"/>
                <w:sz w:val="15"/>
              </w:rPr>
              <w:t>Service availability, cash/e-money balance proxies, demand, liquidity risk, performance, anomalies and action history.</w:t>
            </w:r>
          </w:p>
        </w:tc>
        <w:tc>
          <w:tcPr>
            <w:tcW w:type="dxa" w:w="2541"/>
          </w:tcPr>
          <w:p>
            <w:pPr>
              <w:spacing w:after="20"/>
            </w:pPr>
            <w:r/>
            <w:r>
              <w:rPr>
                <w:b w:val="0"/>
                <w:color w:val="172033"/>
                <w:sz w:val="15"/>
              </w:rPr>
              <w:t>Must</w:t>
            </w:r>
          </w:p>
        </w:tc>
      </w:tr>
      <w:tr>
        <w:tc>
          <w:tcPr>
            <w:tcW w:type="dxa" w:w="2541"/>
            <w:shd w:fill="F7F9FC"/>
          </w:tcPr>
          <w:p>
            <w:pPr>
              <w:spacing w:after="20"/>
            </w:pPr>
            <w:r/>
            <w:r>
              <w:rPr>
                <w:b w:val="0"/>
                <w:color w:val="172033"/>
                <w:sz w:val="15"/>
              </w:rPr>
              <w:t>PF-202</w:t>
            </w:r>
          </w:p>
        </w:tc>
        <w:tc>
          <w:tcPr>
            <w:tcW w:type="dxa" w:w="2541"/>
            <w:shd w:fill="F7F9FC"/>
          </w:tcPr>
          <w:p>
            <w:pPr>
              <w:spacing w:after="20"/>
            </w:pPr>
            <w:r/>
            <w:r>
              <w:rPr>
                <w:b w:val="0"/>
                <w:color w:val="172033"/>
                <w:sz w:val="15"/>
              </w:rPr>
              <w:t>Liquidity Forecast Console</w:t>
            </w:r>
          </w:p>
        </w:tc>
        <w:tc>
          <w:tcPr>
            <w:tcW w:type="dxa" w:w="2541"/>
            <w:shd w:fill="F7F9FC"/>
          </w:tcPr>
          <w:p>
            <w:pPr>
              <w:spacing w:after="20"/>
            </w:pPr>
            <w:r/>
            <w:r>
              <w:rPr>
                <w:b w:val="0"/>
                <w:color w:val="172033"/>
                <w:sz w:val="15"/>
              </w:rPr>
              <w:t>6/12/24/48-hour forecast, cash-in/out, net need, confidence band, pressure windows and configurable safety buffer.</w:t>
            </w:r>
          </w:p>
        </w:tc>
        <w:tc>
          <w:tcPr>
            <w:tcW w:type="dxa" w:w="2541"/>
            <w:shd w:fill="F7F9FC"/>
          </w:tcPr>
          <w:p>
            <w:pPr>
              <w:spacing w:after="20"/>
            </w:pPr>
            <w:r/>
            <w:r>
              <w:rPr>
                <w:b w:val="0"/>
                <w:color w:val="172033"/>
                <w:sz w:val="15"/>
              </w:rPr>
              <w:t>Must</w:t>
            </w:r>
          </w:p>
        </w:tc>
      </w:tr>
      <w:tr>
        <w:tc>
          <w:tcPr>
            <w:tcW w:type="dxa" w:w="2541"/>
          </w:tcPr>
          <w:p>
            <w:pPr>
              <w:spacing w:after="20"/>
            </w:pPr>
            <w:r/>
            <w:r>
              <w:rPr>
                <w:b w:val="0"/>
                <w:color w:val="172033"/>
                <w:sz w:val="15"/>
              </w:rPr>
              <w:t>PF-203</w:t>
            </w:r>
          </w:p>
        </w:tc>
        <w:tc>
          <w:tcPr>
            <w:tcW w:type="dxa" w:w="2541"/>
          </w:tcPr>
          <w:p>
            <w:pPr>
              <w:spacing w:after="20"/>
            </w:pPr>
            <w:r/>
            <w:r>
              <w:rPr>
                <w:b w:val="0"/>
                <w:color w:val="172033"/>
                <w:sz w:val="15"/>
              </w:rPr>
              <w:t>Liquidity Pressure Alert</w:t>
            </w:r>
          </w:p>
        </w:tc>
        <w:tc>
          <w:tcPr>
            <w:tcW w:type="dxa" w:w="2541"/>
          </w:tcPr>
          <w:p>
            <w:pPr>
              <w:spacing w:after="20"/>
            </w:pPr>
            <w:r/>
            <w:r>
              <w:rPr>
                <w:b w:val="0"/>
                <w:color w:val="172033"/>
                <w:sz w:val="15"/>
              </w:rPr>
              <w:t>Early warning with severity, time-to-pressure, predicted gap, drivers and human-approved preparation action.</w:t>
            </w:r>
          </w:p>
        </w:tc>
        <w:tc>
          <w:tcPr>
            <w:tcW w:type="dxa" w:w="2541"/>
          </w:tcPr>
          <w:p>
            <w:pPr>
              <w:spacing w:after="20"/>
            </w:pPr>
            <w:r/>
            <w:r>
              <w:rPr>
                <w:b w:val="0"/>
                <w:color w:val="172033"/>
                <w:sz w:val="15"/>
              </w:rPr>
              <w:t>Must</w:t>
            </w:r>
          </w:p>
        </w:tc>
      </w:tr>
      <w:tr>
        <w:tc>
          <w:tcPr>
            <w:tcW w:type="dxa" w:w="2541"/>
            <w:shd w:fill="F7F9FC"/>
          </w:tcPr>
          <w:p>
            <w:pPr>
              <w:spacing w:after="20"/>
            </w:pPr>
            <w:r/>
            <w:r>
              <w:rPr>
                <w:b w:val="0"/>
                <w:color w:val="172033"/>
                <w:sz w:val="15"/>
              </w:rPr>
              <w:t>PF-204</w:t>
            </w:r>
          </w:p>
        </w:tc>
        <w:tc>
          <w:tcPr>
            <w:tcW w:type="dxa" w:w="2541"/>
            <w:shd w:fill="F7F9FC"/>
          </w:tcPr>
          <w:p>
            <w:pPr>
              <w:spacing w:after="20"/>
            </w:pPr>
            <w:r/>
            <w:r>
              <w:rPr>
                <w:b w:val="0"/>
                <w:color w:val="172033"/>
                <w:sz w:val="15"/>
              </w:rPr>
              <w:t>Performance Intelligence</w:t>
            </w:r>
          </w:p>
        </w:tc>
        <w:tc>
          <w:tcPr>
            <w:tcW w:type="dxa" w:w="2541"/>
            <w:shd w:fill="F7F9FC"/>
          </w:tcPr>
          <w:p>
            <w:pPr>
              <w:spacing w:after="20"/>
            </w:pPr>
            <w:r/>
            <w:r>
              <w:rPr>
                <w:b w:val="0"/>
                <w:color w:val="172033"/>
                <w:sz w:val="15"/>
              </w:rPr>
              <w:t>Success/failure rate, availability, throughput, peer percentile, emerging-performer signal and service-gap explanation.</w:t>
            </w:r>
          </w:p>
        </w:tc>
        <w:tc>
          <w:tcPr>
            <w:tcW w:type="dxa" w:w="2541"/>
            <w:shd w:fill="F7F9FC"/>
          </w:tcPr>
          <w:p>
            <w:pPr>
              <w:spacing w:after="20"/>
            </w:pPr>
            <w:r/>
            <w:r>
              <w:rPr>
                <w:b w:val="0"/>
                <w:color w:val="172033"/>
                <w:sz w:val="15"/>
              </w:rPr>
              <w:t>Must</w:t>
            </w:r>
          </w:p>
        </w:tc>
      </w:tr>
      <w:tr>
        <w:tc>
          <w:tcPr>
            <w:tcW w:type="dxa" w:w="2541"/>
          </w:tcPr>
          <w:p>
            <w:pPr>
              <w:spacing w:after="20"/>
            </w:pPr>
            <w:r/>
            <w:r>
              <w:rPr>
                <w:b w:val="0"/>
                <w:color w:val="172033"/>
                <w:sz w:val="15"/>
              </w:rPr>
              <w:t>PF-205</w:t>
            </w:r>
          </w:p>
        </w:tc>
        <w:tc>
          <w:tcPr>
            <w:tcW w:type="dxa" w:w="2541"/>
          </w:tcPr>
          <w:p>
            <w:pPr>
              <w:spacing w:after="20"/>
            </w:pPr>
            <w:r/>
            <w:r>
              <w:rPr>
                <w:b w:val="0"/>
                <w:color w:val="172033"/>
                <w:sz w:val="15"/>
              </w:rPr>
              <w:t>Anomaly Investigation</w:t>
            </w:r>
          </w:p>
        </w:tc>
        <w:tc>
          <w:tcPr>
            <w:tcW w:type="dxa" w:w="2541"/>
          </w:tcPr>
          <w:p>
            <w:pPr>
              <w:spacing w:after="20"/>
            </w:pPr>
            <w:r/>
            <w:r>
              <w:rPr>
                <w:b w:val="0"/>
                <w:color w:val="172033"/>
                <w:sz w:val="15"/>
              </w:rPr>
              <w:t>Flag abnormal volume, timing, failure, velocity or peer deviation; compare baseline and allow analyst disposition.</w:t>
            </w:r>
          </w:p>
        </w:tc>
        <w:tc>
          <w:tcPr>
            <w:tcW w:type="dxa" w:w="2541"/>
          </w:tcPr>
          <w:p>
            <w:pPr>
              <w:spacing w:after="20"/>
            </w:pPr>
            <w:r/>
            <w:r>
              <w:rPr>
                <w:b w:val="0"/>
                <w:color w:val="172033"/>
                <w:sz w:val="15"/>
              </w:rPr>
              <w:t>Must</w:t>
            </w:r>
          </w:p>
        </w:tc>
      </w:tr>
      <w:tr>
        <w:tc>
          <w:tcPr>
            <w:tcW w:type="dxa" w:w="2541"/>
            <w:shd w:fill="F7F9FC"/>
          </w:tcPr>
          <w:p>
            <w:pPr>
              <w:spacing w:after="20"/>
            </w:pPr>
            <w:r/>
            <w:r>
              <w:rPr>
                <w:b w:val="0"/>
                <w:color w:val="172033"/>
                <w:sz w:val="15"/>
              </w:rPr>
              <w:t>PF-206</w:t>
            </w:r>
          </w:p>
        </w:tc>
        <w:tc>
          <w:tcPr>
            <w:tcW w:type="dxa" w:w="2541"/>
            <w:shd w:fill="F7F9FC"/>
          </w:tcPr>
          <w:p>
            <w:pPr>
              <w:spacing w:after="20"/>
            </w:pPr>
            <w:r/>
            <w:r>
              <w:rPr>
                <w:b w:val="0"/>
                <w:color w:val="172033"/>
                <w:sz w:val="15"/>
              </w:rPr>
              <w:t>Rebalancing What-if</w:t>
            </w:r>
          </w:p>
        </w:tc>
        <w:tc>
          <w:tcPr>
            <w:tcW w:type="dxa" w:w="2541"/>
            <w:shd w:fill="F7F9FC"/>
          </w:tcPr>
          <w:p>
            <w:pPr>
              <w:spacing w:after="20"/>
            </w:pPr>
            <w:r/>
            <w:r>
              <w:rPr>
                <w:b w:val="0"/>
                <w:color w:val="172033"/>
                <w:sz w:val="15"/>
              </w:rPr>
              <w:t>Simulate liquidity buffer changes and show projected shortage risk; simulation never triggers real money movement.</w:t>
            </w:r>
          </w:p>
        </w:tc>
        <w:tc>
          <w:tcPr>
            <w:tcW w:type="dxa" w:w="2541"/>
            <w:shd w:fill="F7F9FC"/>
          </w:tcPr>
          <w:p>
            <w:pPr>
              <w:spacing w:after="20"/>
            </w:pPr>
            <w:r/>
            <w:r>
              <w:rPr>
                <w:b w:val="0"/>
                <w:color w:val="172033"/>
                <w:sz w:val="15"/>
              </w:rPr>
              <w:t>Should</w:t>
            </w:r>
          </w:p>
        </w:tc>
      </w:tr>
    </w:tbl>
    <w:p>
      <w:pPr>
        <w:spacing w:after="20"/>
      </w:pPr>
    </w:p>
    <w:p>
      <w:pPr>
        <w:pStyle w:val="Heading1"/>
      </w:pPr>
      <w:r>
        <w:t>18.4 Location &amp; Network Intelligence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0233F"/>
          </w:tcPr>
          <w:p>
            <w:pPr>
              <w:spacing w:after="20"/>
            </w:pPr>
            <w:r/>
            <w:r>
              <w:rPr>
                <w:b/>
                <w:color w:val="FFFFFF"/>
                <w:sz w:val="15"/>
              </w:rPr>
              <w:t>ID</w:t>
            </w:r>
          </w:p>
        </w:tc>
        <w:tc>
          <w:tcPr>
            <w:tcW w:type="dxa" w:w="2541"/>
            <w:shd w:fill="10233F"/>
          </w:tcPr>
          <w:p>
            <w:pPr>
              <w:spacing w:after="20"/>
            </w:pPr>
            <w:r/>
            <w:r>
              <w:rPr>
                <w:b/>
                <w:color w:val="FFFFFF"/>
                <w:sz w:val="15"/>
              </w:rPr>
              <w:t>Feature</w:t>
            </w:r>
          </w:p>
        </w:tc>
        <w:tc>
          <w:tcPr>
            <w:tcW w:type="dxa" w:w="2541"/>
            <w:shd w:fill="10233F"/>
          </w:tcPr>
          <w:p>
            <w:pPr>
              <w:spacing w:after="20"/>
            </w:pPr>
            <w:r/>
            <w:r>
              <w:rPr>
                <w:b/>
                <w:color w:val="FFFFFF"/>
                <w:sz w:val="15"/>
              </w:rPr>
              <w:t>Detailed behavior</w:t>
            </w:r>
          </w:p>
        </w:tc>
        <w:tc>
          <w:tcPr>
            <w:tcW w:type="dxa" w:w="2541"/>
            <w:shd w:fill="10233F"/>
          </w:tcPr>
          <w:p>
            <w:pPr>
              <w:spacing w:after="20"/>
            </w:pPr>
            <w:r/>
            <w:r>
              <w:rPr>
                <w:b/>
                <w:color w:val="FFFFFF"/>
                <w:sz w:val="15"/>
              </w:rPr>
              <w:t>Priority</w:t>
            </w:r>
          </w:p>
        </w:tc>
      </w:tr>
      <w:tr>
        <w:tc>
          <w:tcPr>
            <w:tcW w:type="dxa" w:w="2541"/>
          </w:tcPr>
          <w:p>
            <w:pPr>
              <w:spacing w:after="20"/>
            </w:pPr>
            <w:r/>
            <w:r>
              <w:rPr>
                <w:b w:val="0"/>
                <w:color w:val="172033"/>
                <w:sz w:val="15"/>
              </w:rPr>
              <w:t>PF-301</w:t>
            </w:r>
          </w:p>
        </w:tc>
        <w:tc>
          <w:tcPr>
            <w:tcW w:type="dxa" w:w="2541"/>
          </w:tcPr>
          <w:p>
            <w:pPr>
              <w:spacing w:after="20"/>
            </w:pPr>
            <w:r/>
            <w:r>
              <w:rPr>
                <w:b w:val="0"/>
                <w:color w:val="172033"/>
                <w:sz w:val="15"/>
              </w:rPr>
              <w:t>Coverage Heatmap</w:t>
            </w:r>
          </w:p>
        </w:tc>
        <w:tc>
          <w:tcPr>
            <w:tcW w:type="dxa" w:w="2541"/>
          </w:tcPr>
          <w:p>
            <w:pPr>
              <w:spacing w:after="20"/>
            </w:pPr>
            <w:r/>
            <w:r>
              <w:rPr>
                <w:b w:val="0"/>
                <w:color w:val="172033"/>
                <w:sz w:val="15"/>
              </w:rPr>
              <w:t>Demand/coverage/service-gap layers with legend, zoom, cluster and region filter.</w:t>
            </w:r>
          </w:p>
        </w:tc>
        <w:tc>
          <w:tcPr>
            <w:tcW w:type="dxa" w:w="2541"/>
          </w:tcPr>
          <w:p>
            <w:pPr>
              <w:spacing w:after="20"/>
            </w:pPr>
            <w:r/>
            <w:r>
              <w:rPr>
                <w:b w:val="0"/>
                <w:color w:val="172033"/>
                <w:sz w:val="15"/>
              </w:rPr>
              <w:t>Must</w:t>
            </w:r>
          </w:p>
        </w:tc>
      </w:tr>
      <w:tr>
        <w:tc>
          <w:tcPr>
            <w:tcW w:type="dxa" w:w="2541"/>
            <w:shd w:fill="F7F9FC"/>
          </w:tcPr>
          <w:p>
            <w:pPr>
              <w:spacing w:after="20"/>
            </w:pPr>
            <w:r/>
            <w:r>
              <w:rPr>
                <w:b w:val="0"/>
                <w:color w:val="172033"/>
                <w:sz w:val="15"/>
              </w:rPr>
              <w:t>PF-302</w:t>
            </w:r>
          </w:p>
        </w:tc>
        <w:tc>
          <w:tcPr>
            <w:tcW w:type="dxa" w:w="2541"/>
            <w:shd w:fill="F7F9FC"/>
          </w:tcPr>
          <w:p>
            <w:pPr>
              <w:spacing w:after="20"/>
            </w:pPr>
            <w:r/>
            <w:r>
              <w:rPr>
                <w:b w:val="0"/>
                <w:color w:val="172033"/>
                <w:sz w:val="15"/>
              </w:rPr>
              <w:t>Opportunity Ranking</w:t>
            </w:r>
          </w:p>
        </w:tc>
        <w:tc>
          <w:tcPr>
            <w:tcW w:type="dxa" w:w="2541"/>
            <w:shd w:fill="F7F9FC"/>
          </w:tcPr>
          <w:p>
            <w:pPr>
              <w:spacing w:after="20"/>
            </w:pPr>
            <w:r/>
            <w:r>
              <w:rPr>
                <w:b w:val="0"/>
                <w:color w:val="172033"/>
                <w:sz w:val="15"/>
              </w:rPr>
              <w:t>Rank cells/areas for additional merchant/agent coverage with transparent factor contribution.</w:t>
            </w:r>
          </w:p>
        </w:tc>
        <w:tc>
          <w:tcPr>
            <w:tcW w:type="dxa" w:w="2541"/>
            <w:shd w:fill="F7F9FC"/>
          </w:tcPr>
          <w:p>
            <w:pPr>
              <w:spacing w:after="20"/>
            </w:pPr>
            <w:r/>
            <w:r>
              <w:rPr>
                <w:b w:val="0"/>
                <w:color w:val="172033"/>
                <w:sz w:val="15"/>
              </w:rPr>
              <w:t>Must</w:t>
            </w:r>
          </w:p>
        </w:tc>
      </w:tr>
      <w:tr>
        <w:tc>
          <w:tcPr>
            <w:tcW w:type="dxa" w:w="2541"/>
          </w:tcPr>
          <w:p>
            <w:pPr>
              <w:spacing w:after="20"/>
            </w:pPr>
            <w:r/>
            <w:r>
              <w:rPr>
                <w:b w:val="0"/>
                <w:color w:val="172033"/>
                <w:sz w:val="15"/>
              </w:rPr>
              <w:t>PF-303</w:t>
            </w:r>
          </w:p>
        </w:tc>
        <w:tc>
          <w:tcPr>
            <w:tcW w:type="dxa" w:w="2541"/>
          </w:tcPr>
          <w:p>
            <w:pPr>
              <w:spacing w:after="20"/>
            </w:pPr>
            <w:r/>
            <w:r>
              <w:rPr>
                <w:b w:val="0"/>
                <w:color w:val="172033"/>
                <w:sz w:val="15"/>
              </w:rPr>
              <w:t>Candidate Location Detail</w:t>
            </w:r>
          </w:p>
        </w:tc>
        <w:tc>
          <w:tcPr>
            <w:tcW w:type="dxa" w:w="2541"/>
          </w:tcPr>
          <w:p>
            <w:pPr>
              <w:spacing w:after="20"/>
            </w:pPr>
            <w:r/>
            <w:r>
              <w:rPr>
                <w:b w:val="0"/>
                <w:color w:val="172033"/>
                <w:sz w:val="15"/>
              </w:rPr>
              <w:t>Show nearby coverage, demand proxy, distance, category gap, estimated opportunity and uncertainty.</w:t>
            </w:r>
          </w:p>
        </w:tc>
        <w:tc>
          <w:tcPr>
            <w:tcW w:type="dxa" w:w="2541"/>
          </w:tcPr>
          <w:p>
            <w:pPr>
              <w:spacing w:after="20"/>
            </w:pPr>
            <w:r/>
            <w:r>
              <w:rPr>
                <w:b w:val="0"/>
                <w:color w:val="172033"/>
                <w:sz w:val="15"/>
              </w:rPr>
              <w:t>Must</w:t>
            </w:r>
          </w:p>
        </w:tc>
      </w:tr>
      <w:tr>
        <w:tc>
          <w:tcPr>
            <w:tcW w:type="dxa" w:w="2541"/>
            <w:shd w:fill="F7F9FC"/>
          </w:tcPr>
          <w:p>
            <w:pPr>
              <w:spacing w:after="20"/>
            </w:pPr>
            <w:r/>
            <w:r>
              <w:rPr>
                <w:b w:val="0"/>
                <w:color w:val="172033"/>
                <w:sz w:val="15"/>
              </w:rPr>
              <w:t>PF-304</w:t>
            </w:r>
          </w:p>
        </w:tc>
        <w:tc>
          <w:tcPr>
            <w:tcW w:type="dxa" w:w="2541"/>
            <w:shd w:fill="F7F9FC"/>
          </w:tcPr>
          <w:p>
            <w:pPr>
              <w:spacing w:after="20"/>
            </w:pPr>
            <w:r/>
            <w:r>
              <w:rPr>
                <w:b w:val="0"/>
                <w:color w:val="172033"/>
                <w:sz w:val="15"/>
              </w:rPr>
              <w:t>Network Scenario Simulator</w:t>
            </w:r>
          </w:p>
        </w:tc>
        <w:tc>
          <w:tcPr>
            <w:tcW w:type="dxa" w:w="2541"/>
            <w:shd w:fill="F7F9FC"/>
          </w:tcPr>
          <w:p>
            <w:pPr>
              <w:spacing w:after="20"/>
            </w:pPr>
            <w:r/>
            <w:r>
              <w:rPr>
                <w:b w:val="0"/>
                <w:color w:val="172033"/>
                <w:sz w:val="15"/>
              </w:rPr>
              <w:t>Compare before/after hypothetical new node and estimate coverage/service impact.</w:t>
            </w:r>
          </w:p>
        </w:tc>
        <w:tc>
          <w:tcPr>
            <w:tcW w:type="dxa" w:w="2541"/>
            <w:shd w:fill="F7F9FC"/>
          </w:tcPr>
          <w:p>
            <w:pPr>
              <w:spacing w:after="20"/>
            </w:pPr>
            <w:r/>
            <w:r>
              <w:rPr>
                <w:b w:val="0"/>
                <w:color w:val="172033"/>
                <w:sz w:val="15"/>
              </w:rPr>
              <w:t>Should</w:t>
            </w:r>
          </w:p>
        </w:tc>
      </w:tr>
    </w:tbl>
    <w:p>
      <w:pPr>
        <w:spacing w:after="20"/>
      </w:pPr>
    </w:p>
    <w:p>
      <w:pPr>
        <w:pStyle w:val="Heading1"/>
      </w:pPr>
      <w:r>
        <w:t>18.5 Action, Collaboration &amp; Governance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0233F"/>
          </w:tcPr>
          <w:p>
            <w:pPr>
              <w:spacing w:after="20"/>
            </w:pPr>
            <w:r/>
            <w:r>
              <w:rPr>
                <w:b/>
                <w:color w:val="FFFFFF"/>
                <w:sz w:val="15"/>
              </w:rPr>
              <w:t>ID</w:t>
            </w:r>
          </w:p>
        </w:tc>
        <w:tc>
          <w:tcPr>
            <w:tcW w:type="dxa" w:w="2541"/>
            <w:shd w:fill="10233F"/>
          </w:tcPr>
          <w:p>
            <w:pPr>
              <w:spacing w:after="20"/>
            </w:pPr>
            <w:r/>
            <w:r>
              <w:rPr>
                <w:b/>
                <w:color w:val="FFFFFF"/>
                <w:sz w:val="15"/>
              </w:rPr>
              <w:t>Feature</w:t>
            </w:r>
          </w:p>
        </w:tc>
        <w:tc>
          <w:tcPr>
            <w:tcW w:type="dxa" w:w="2541"/>
            <w:shd w:fill="10233F"/>
          </w:tcPr>
          <w:p>
            <w:pPr>
              <w:spacing w:after="20"/>
            </w:pPr>
            <w:r/>
            <w:r>
              <w:rPr>
                <w:b/>
                <w:color w:val="FFFFFF"/>
                <w:sz w:val="15"/>
              </w:rPr>
              <w:t>Detailed behavior</w:t>
            </w:r>
          </w:p>
        </w:tc>
        <w:tc>
          <w:tcPr>
            <w:tcW w:type="dxa" w:w="2541"/>
            <w:shd w:fill="10233F"/>
          </w:tcPr>
          <w:p>
            <w:pPr>
              <w:spacing w:after="20"/>
            </w:pPr>
            <w:r/>
            <w:r>
              <w:rPr>
                <w:b/>
                <w:color w:val="FFFFFF"/>
                <w:sz w:val="15"/>
              </w:rPr>
              <w:t>Priority</w:t>
            </w:r>
          </w:p>
        </w:tc>
      </w:tr>
      <w:tr>
        <w:tc>
          <w:tcPr>
            <w:tcW w:type="dxa" w:w="2541"/>
          </w:tcPr>
          <w:p>
            <w:pPr>
              <w:spacing w:after="20"/>
            </w:pPr>
            <w:r/>
            <w:r>
              <w:rPr>
                <w:b w:val="0"/>
                <w:color w:val="172033"/>
                <w:sz w:val="15"/>
              </w:rPr>
              <w:t>PF-401</w:t>
            </w:r>
          </w:p>
        </w:tc>
        <w:tc>
          <w:tcPr>
            <w:tcW w:type="dxa" w:w="2541"/>
          </w:tcPr>
          <w:p>
            <w:pPr>
              <w:spacing w:after="20"/>
            </w:pPr>
            <w:r/>
            <w:r>
              <w:rPr>
                <w:b w:val="0"/>
                <w:color w:val="172033"/>
                <w:sz w:val="15"/>
              </w:rPr>
              <w:t>Intervention Workflow</w:t>
            </w:r>
          </w:p>
        </w:tc>
        <w:tc>
          <w:tcPr>
            <w:tcW w:type="dxa" w:w="2541"/>
          </w:tcPr>
          <w:p>
            <w:pPr>
              <w:spacing w:after="20"/>
            </w:pPr>
            <w:r/>
            <w:r>
              <w:rPr>
                <w:b w:val="0"/>
                <w:color w:val="172033"/>
                <w:sz w:val="15"/>
              </w:rPr>
              <w:t>Create action from AI signal; owner, priority, due date, notes, evidence, status and outcome.</w:t>
            </w:r>
          </w:p>
        </w:tc>
        <w:tc>
          <w:tcPr>
            <w:tcW w:type="dxa" w:w="2541"/>
          </w:tcPr>
          <w:p>
            <w:pPr>
              <w:spacing w:after="20"/>
            </w:pPr>
            <w:r/>
            <w:r>
              <w:rPr>
                <w:b w:val="0"/>
                <w:color w:val="172033"/>
                <w:sz w:val="15"/>
              </w:rPr>
              <w:t>Must</w:t>
            </w:r>
          </w:p>
        </w:tc>
      </w:tr>
      <w:tr>
        <w:tc>
          <w:tcPr>
            <w:tcW w:type="dxa" w:w="2541"/>
            <w:shd w:fill="F7F9FC"/>
          </w:tcPr>
          <w:p>
            <w:pPr>
              <w:spacing w:after="20"/>
            </w:pPr>
            <w:r/>
            <w:r>
              <w:rPr>
                <w:b w:val="0"/>
                <w:color w:val="172033"/>
                <w:sz w:val="15"/>
              </w:rPr>
              <w:t>PF-402</w:t>
            </w:r>
          </w:p>
        </w:tc>
        <w:tc>
          <w:tcPr>
            <w:tcW w:type="dxa" w:w="2541"/>
            <w:shd w:fill="F7F9FC"/>
          </w:tcPr>
          <w:p>
            <w:pPr>
              <w:spacing w:after="20"/>
            </w:pPr>
            <w:r/>
            <w:r>
              <w:rPr>
                <w:b w:val="0"/>
                <w:color w:val="172033"/>
                <w:sz w:val="15"/>
              </w:rPr>
              <w:t>Human Decision Capture</w:t>
            </w:r>
          </w:p>
        </w:tc>
        <w:tc>
          <w:tcPr>
            <w:tcW w:type="dxa" w:w="2541"/>
            <w:shd w:fill="F7F9FC"/>
          </w:tcPr>
          <w:p>
            <w:pPr>
              <w:spacing w:after="20"/>
            </w:pPr>
            <w:r/>
            <w:r>
              <w:rPr>
                <w:b w:val="0"/>
                <w:color w:val="172033"/>
                <w:sz w:val="15"/>
              </w:rPr>
              <w:t>Accept/reject/override recommendation with reason; preserve original AI output for audit.</w:t>
            </w:r>
          </w:p>
        </w:tc>
        <w:tc>
          <w:tcPr>
            <w:tcW w:type="dxa" w:w="2541"/>
            <w:shd w:fill="F7F9FC"/>
          </w:tcPr>
          <w:p>
            <w:pPr>
              <w:spacing w:after="20"/>
            </w:pPr>
            <w:r/>
            <w:r>
              <w:rPr>
                <w:b w:val="0"/>
                <w:color w:val="172033"/>
                <w:sz w:val="15"/>
              </w:rPr>
              <w:t>Must</w:t>
            </w:r>
          </w:p>
        </w:tc>
      </w:tr>
      <w:tr>
        <w:tc>
          <w:tcPr>
            <w:tcW w:type="dxa" w:w="2541"/>
          </w:tcPr>
          <w:p>
            <w:pPr>
              <w:spacing w:after="20"/>
            </w:pPr>
            <w:r/>
            <w:r>
              <w:rPr>
                <w:b w:val="0"/>
                <w:color w:val="172033"/>
                <w:sz w:val="15"/>
              </w:rPr>
              <w:t>PF-403</w:t>
            </w:r>
          </w:p>
        </w:tc>
        <w:tc>
          <w:tcPr>
            <w:tcW w:type="dxa" w:w="2541"/>
          </w:tcPr>
          <w:p>
            <w:pPr>
              <w:spacing w:after="20"/>
            </w:pPr>
            <w:r/>
            <w:r>
              <w:rPr>
                <w:b w:val="0"/>
                <w:color w:val="172033"/>
                <w:sz w:val="15"/>
              </w:rPr>
              <w:t>Outcome Measurement</w:t>
            </w:r>
          </w:p>
        </w:tc>
        <w:tc>
          <w:tcPr>
            <w:tcW w:type="dxa" w:w="2541"/>
          </w:tcPr>
          <w:p>
            <w:pPr>
              <w:spacing w:after="20"/>
            </w:pPr>
            <w:r/>
            <w:r>
              <w:rPr>
                <w:b w:val="0"/>
                <w:color w:val="172033"/>
                <w:sz w:val="15"/>
              </w:rPr>
              <w:t>Record outcome window and KPI change; connect action to measurable business/customer effect.</w:t>
            </w:r>
          </w:p>
        </w:tc>
        <w:tc>
          <w:tcPr>
            <w:tcW w:type="dxa" w:w="2541"/>
          </w:tcPr>
          <w:p>
            <w:pPr>
              <w:spacing w:after="20"/>
            </w:pPr>
            <w:r/>
            <w:r>
              <w:rPr>
                <w:b w:val="0"/>
                <w:color w:val="172033"/>
                <w:sz w:val="15"/>
              </w:rPr>
              <w:t>Must</w:t>
            </w:r>
          </w:p>
        </w:tc>
      </w:tr>
      <w:tr>
        <w:tc>
          <w:tcPr>
            <w:tcW w:type="dxa" w:w="2541"/>
            <w:shd w:fill="F7F9FC"/>
          </w:tcPr>
          <w:p>
            <w:pPr>
              <w:spacing w:after="20"/>
            </w:pPr>
            <w:r/>
            <w:r>
              <w:rPr>
                <w:b w:val="0"/>
                <w:color w:val="172033"/>
                <w:sz w:val="15"/>
              </w:rPr>
              <w:t>PF-404</w:t>
            </w:r>
          </w:p>
        </w:tc>
        <w:tc>
          <w:tcPr>
            <w:tcW w:type="dxa" w:w="2541"/>
            <w:shd w:fill="F7F9FC"/>
          </w:tcPr>
          <w:p>
            <w:pPr>
              <w:spacing w:after="20"/>
            </w:pPr>
            <w:r/>
            <w:r>
              <w:rPr>
                <w:b w:val="0"/>
                <w:color w:val="172033"/>
                <w:sz w:val="15"/>
              </w:rPr>
              <w:t>Model Card Center</w:t>
            </w:r>
          </w:p>
        </w:tc>
        <w:tc>
          <w:tcPr>
            <w:tcW w:type="dxa" w:w="2541"/>
            <w:shd w:fill="F7F9FC"/>
          </w:tcPr>
          <w:p>
            <w:pPr>
              <w:spacing w:after="20"/>
            </w:pPr>
            <w:r/>
            <w:r>
              <w:rPr>
                <w:b w:val="0"/>
                <w:color w:val="172033"/>
                <w:sz w:val="15"/>
              </w:rPr>
              <w:t>Model purpose, version, data window, metrics, limitations, fairness, drift and last validation.</w:t>
            </w:r>
          </w:p>
        </w:tc>
        <w:tc>
          <w:tcPr>
            <w:tcW w:type="dxa" w:w="2541"/>
            <w:shd w:fill="F7F9FC"/>
          </w:tcPr>
          <w:p>
            <w:pPr>
              <w:spacing w:after="20"/>
            </w:pPr>
            <w:r/>
            <w:r>
              <w:rPr>
                <w:b w:val="0"/>
                <w:color w:val="172033"/>
                <w:sz w:val="15"/>
              </w:rPr>
              <w:t>Must</w:t>
            </w:r>
          </w:p>
        </w:tc>
      </w:tr>
      <w:tr>
        <w:tc>
          <w:tcPr>
            <w:tcW w:type="dxa" w:w="2541"/>
          </w:tcPr>
          <w:p>
            <w:pPr>
              <w:spacing w:after="20"/>
            </w:pPr>
            <w:r/>
            <w:r>
              <w:rPr>
                <w:b w:val="0"/>
                <w:color w:val="172033"/>
                <w:sz w:val="15"/>
              </w:rPr>
              <w:t>PF-405</w:t>
            </w:r>
          </w:p>
        </w:tc>
        <w:tc>
          <w:tcPr>
            <w:tcW w:type="dxa" w:w="2541"/>
          </w:tcPr>
          <w:p>
            <w:pPr>
              <w:spacing w:after="20"/>
            </w:pPr>
            <w:r/>
            <w:r>
              <w:rPr>
                <w:b w:val="0"/>
                <w:color w:val="172033"/>
                <w:sz w:val="15"/>
              </w:rPr>
              <w:t>Audit Explorer</w:t>
            </w:r>
          </w:p>
        </w:tc>
        <w:tc>
          <w:tcPr>
            <w:tcW w:type="dxa" w:w="2541"/>
          </w:tcPr>
          <w:p>
            <w:pPr>
              <w:spacing w:after="20"/>
            </w:pPr>
            <w:r/>
            <w:r>
              <w:rPr>
                <w:b w:val="0"/>
                <w:color w:val="172033"/>
                <w:sz w:val="15"/>
              </w:rPr>
              <w:t>Search privileged changes, prediction versions and intervention decisions by actor/object/correlation ID.</w:t>
            </w:r>
          </w:p>
        </w:tc>
        <w:tc>
          <w:tcPr>
            <w:tcW w:type="dxa" w:w="2541"/>
          </w:tcPr>
          <w:p>
            <w:pPr>
              <w:spacing w:after="20"/>
            </w:pPr>
            <w:r/>
            <w:r>
              <w:rPr>
                <w:b w:val="0"/>
                <w:color w:val="172033"/>
                <w:sz w:val="15"/>
              </w:rPr>
              <w:t>Must</w:t>
            </w:r>
          </w:p>
        </w:tc>
      </w:tr>
      <w:tr>
        <w:tc>
          <w:tcPr>
            <w:tcW w:type="dxa" w:w="2541"/>
            <w:shd w:fill="F7F9FC"/>
          </w:tcPr>
          <w:p>
            <w:pPr>
              <w:spacing w:after="20"/>
            </w:pPr>
            <w:r/>
            <w:r>
              <w:rPr>
                <w:b w:val="0"/>
                <w:color w:val="172033"/>
                <w:sz w:val="15"/>
              </w:rPr>
              <w:t>PF-406</w:t>
            </w:r>
          </w:p>
        </w:tc>
        <w:tc>
          <w:tcPr>
            <w:tcW w:type="dxa" w:w="2541"/>
            <w:shd w:fill="F7F9FC"/>
          </w:tcPr>
          <w:p>
            <w:pPr>
              <w:spacing w:after="20"/>
            </w:pPr>
            <w:r/>
            <w:r>
              <w:rPr>
                <w:b w:val="0"/>
                <w:color w:val="172033"/>
                <w:sz w:val="15"/>
              </w:rPr>
              <w:t>Notification Center</w:t>
            </w:r>
          </w:p>
        </w:tc>
        <w:tc>
          <w:tcPr>
            <w:tcW w:type="dxa" w:w="2541"/>
            <w:shd w:fill="F7F9FC"/>
          </w:tcPr>
          <w:p>
            <w:pPr>
              <w:spacing w:after="20"/>
            </w:pPr>
            <w:r/>
            <w:r>
              <w:rPr>
                <w:b w:val="0"/>
                <w:color w:val="172033"/>
                <w:sz w:val="15"/>
              </w:rPr>
              <w:t>In-app alerts with unread state, severity, deep-link and preferences.</w:t>
            </w:r>
          </w:p>
        </w:tc>
        <w:tc>
          <w:tcPr>
            <w:tcW w:type="dxa" w:w="2541"/>
            <w:shd w:fill="F7F9FC"/>
          </w:tcPr>
          <w:p>
            <w:pPr>
              <w:spacing w:after="20"/>
            </w:pPr>
            <w:r/>
            <w:r>
              <w:rPr>
                <w:b w:val="0"/>
                <w:color w:val="172033"/>
                <w:sz w:val="15"/>
              </w:rPr>
              <w:t>Should</w:t>
            </w:r>
          </w:p>
        </w:tc>
      </w:tr>
    </w:tbl>
    <w:p>
      <w:pPr>
        <w:spacing w:after="20"/>
      </w:pPr>
    </w:p>
    <w:p>
      <w:pPr>
        <w:pStyle w:val="Heading1"/>
      </w:pPr>
      <w:r>
        <w:t>18.6 Standard Feature Interaction Contract</w:t>
      </w:r>
    </w:p>
    <w:tbl>
      <w:tblPr>
        <w:tblStyle w:val="TableGrid"/>
        <w:tblW w:type="auto" w:w="0"/>
        <w:jc w:val="center"/>
        <w:tblLook w:firstColumn="1" w:firstRow="1" w:lastColumn="0" w:lastRow="0" w:noHBand="0" w:noVBand="1" w:val="04A0"/>
      </w:tblPr>
      <w:tblGrid>
        <w:gridCol w:w="5083"/>
        <w:gridCol w:w="5083"/>
      </w:tblGrid>
      <w:tr>
        <w:tc>
          <w:tcPr>
            <w:tcW w:type="dxa" w:w="5083"/>
            <w:shd w:fill="10233F"/>
          </w:tcPr>
          <w:p>
            <w:pPr>
              <w:spacing w:after="20"/>
            </w:pPr>
            <w:r/>
            <w:r>
              <w:rPr>
                <w:b/>
                <w:color w:val="FFFFFF"/>
                <w:sz w:val="15"/>
              </w:rPr>
              <w:t>State</w:t>
            </w:r>
          </w:p>
        </w:tc>
        <w:tc>
          <w:tcPr>
            <w:tcW w:type="dxa" w:w="5083"/>
            <w:shd w:fill="10233F"/>
          </w:tcPr>
          <w:p>
            <w:pPr>
              <w:spacing w:after="20"/>
            </w:pPr>
            <w:r/>
            <w:r>
              <w:rPr>
                <w:b/>
                <w:color w:val="FFFFFF"/>
                <w:sz w:val="15"/>
              </w:rPr>
              <w:t>Required behavior</w:t>
            </w:r>
          </w:p>
        </w:tc>
      </w:tr>
      <w:tr>
        <w:tc>
          <w:tcPr>
            <w:tcW w:type="dxa" w:w="5083"/>
          </w:tcPr>
          <w:p>
            <w:pPr>
              <w:spacing w:after="20"/>
            </w:pPr>
            <w:r/>
            <w:r>
              <w:rPr>
                <w:b w:val="0"/>
                <w:color w:val="172033"/>
                <w:sz w:val="15"/>
              </w:rPr>
              <w:t>Loading</w:t>
            </w:r>
          </w:p>
        </w:tc>
        <w:tc>
          <w:tcPr>
            <w:tcW w:type="dxa" w:w="5083"/>
          </w:tcPr>
          <w:p>
            <w:pPr>
              <w:spacing w:after="20"/>
            </w:pPr>
            <w:r/>
            <w:r>
              <w:rPr>
                <w:b w:val="0"/>
                <w:color w:val="172033"/>
                <w:sz w:val="15"/>
              </w:rPr>
              <w:t>Skeleton layout matching final geometry; no jumping content; show progress for jobs &gt;2 seconds.</w:t>
            </w:r>
          </w:p>
        </w:tc>
      </w:tr>
      <w:tr>
        <w:tc>
          <w:tcPr>
            <w:tcW w:type="dxa" w:w="5083"/>
            <w:shd w:fill="F7F9FC"/>
          </w:tcPr>
          <w:p>
            <w:pPr>
              <w:spacing w:after="20"/>
            </w:pPr>
            <w:r/>
            <w:r>
              <w:rPr>
                <w:b w:val="0"/>
                <w:color w:val="172033"/>
                <w:sz w:val="15"/>
              </w:rPr>
              <w:t>Empty</w:t>
            </w:r>
          </w:p>
        </w:tc>
        <w:tc>
          <w:tcPr>
            <w:tcW w:type="dxa" w:w="5083"/>
            <w:shd w:fill="F7F9FC"/>
          </w:tcPr>
          <w:p>
            <w:pPr>
              <w:spacing w:after="20"/>
            </w:pPr>
            <w:r/>
            <w:r>
              <w:rPr>
                <w:b w:val="0"/>
                <w:color w:val="172033"/>
                <w:sz w:val="15"/>
              </w:rPr>
              <w:t>Explain why no data exists and provide safe next action or scenario seed; never show a blank chart.</w:t>
            </w:r>
          </w:p>
        </w:tc>
      </w:tr>
      <w:tr>
        <w:tc>
          <w:tcPr>
            <w:tcW w:type="dxa" w:w="5083"/>
          </w:tcPr>
          <w:p>
            <w:pPr>
              <w:spacing w:after="20"/>
            </w:pPr>
            <w:r/>
            <w:r>
              <w:rPr>
                <w:b w:val="0"/>
                <w:color w:val="172033"/>
                <w:sz w:val="15"/>
              </w:rPr>
              <w:t>Success</w:t>
            </w:r>
          </w:p>
        </w:tc>
        <w:tc>
          <w:tcPr>
            <w:tcW w:type="dxa" w:w="5083"/>
          </w:tcPr>
          <w:p>
            <w:pPr>
              <w:spacing w:after="20"/>
            </w:pPr>
            <w:r/>
            <w:r>
              <w:rPr>
                <w:b w:val="0"/>
                <w:color w:val="172033"/>
                <w:sz w:val="15"/>
              </w:rPr>
              <w:t>Show timestamp, filters, units, confidence/uncertainty and source/model version where relevant.</w:t>
            </w:r>
          </w:p>
        </w:tc>
      </w:tr>
      <w:tr>
        <w:tc>
          <w:tcPr>
            <w:tcW w:type="dxa" w:w="5083"/>
            <w:shd w:fill="F7F9FC"/>
          </w:tcPr>
          <w:p>
            <w:pPr>
              <w:spacing w:after="20"/>
            </w:pPr>
            <w:r/>
            <w:r>
              <w:rPr>
                <w:b w:val="0"/>
                <w:color w:val="172033"/>
                <w:sz w:val="15"/>
              </w:rPr>
              <w:t>Warning</w:t>
            </w:r>
          </w:p>
        </w:tc>
        <w:tc>
          <w:tcPr>
            <w:tcW w:type="dxa" w:w="5083"/>
            <w:shd w:fill="F7F9FC"/>
          </w:tcPr>
          <w:p>
            <w:pPr>
              <w:spacing w:after="20"/>
            </w:pPr>
            <w:r/>
            <w:r>
              <w:rPr>
                <w:b w:val="0"/>
                <w:color w:val="172033"/>
                <w:sz w:val="15"/>
              </w:rPr>
              <w:t>Amber non-blocking state for stale/low-confidence/partial data; explain limitation.</w:t>
            </w:r>
          </w:p>
        </w:tc>
      </w:tr>
      <w:tr>
        <w:tc>
          <w:tcPr>
            <w:tcW w:type="dxa" w:w="5083"/>
          </w:tcPr>
          <w:p>
            <w:pPr>
              <w:spacing w:after="20"/>
            </w:pPr>
            <w:r/>
            <w:r>
              <w:rPr>
                <w:b w:val="0"/>
                <w:color w:val="172033"/>
                <w:sz w:val="15"/>
              </w:rPr>
              <w:t>Error</w:t>
            </w:r>
          </w:p>
        </w:tc>
        <w:tc>
          <w:tcPr>
            <w:tcW w:type="dxa" w:w="5083"/>
          </w:tcPr>
          <w:p>
            <w:pPr>
              <w:spacing w:after="20"/>
            </w:pPr>
            <w:r/>
            <w:r>
              <w:rPr>
                <w:b w:val="0"/>
                <w:color w:val="172033"/>
                <w:sz w:val="15"/>
              </w:rPr>
              <w:t>Human-readable message + correlation ID + retry; preserve surrounding usable content.</w:t>
            </w:r>
          </w:p>
        </w:tc>
      </w:tr>
      <w:tr>
        <w:tc>
          <w:tcPr>
            <w:tcW w:type="dxa" w:w="5083"/>
            <w:shd w:fill="F7F9FC"/>
          </w:tcPr>
          <w:p>
            <w:pPr>
              <w:spacing w:after="20"/>
            </w:pPr>
            <w:r/>
            <w:r>
              <w:rPr>
                <w:b w:val="0"/>
                <w:color w:val="172033"/>
                <w:sz w:val="15"/>
              </w:rPr>
              <w:t>Unauthorized</w:t>
            </w:r>
          </w:p>
        </w:tc>
        <w:tc>
          <w:tcPr>
            <w:tcW w:type="dxa" w:w="5083"/>
            <w:shd w:fill="F7F9FC"/>
          </w:tcPr>
          <w:p>
            <w:pPr>
              <w:spacing w:after="20"/>
            </w:pPr>
            <w:r/>
            <w:r>
              <w:rPr>
                <w:b w:val="0"/>
                <w:color w:val="172033"/>
                <w:sz w:val="15"/>
              </w:rPr>
              <w:t>Do not leak entity existence; return safe 403/404 behavior based on policy.</w:t>
            </w:r>
          </w:p>
        </w:tc>
      </w:tr>
      <w:tr>
        <w:tc>
          <w:tcPr>
            <w:tcW w:type="dxa" w:w="5083"/>
          </w:tcPr>
          <w:p>
            <w:pPr>
              <w:spacing w:after="20"/>
            </w:pPr>
            <w:r/>
            <w:r>
              <w:rPr>
                <w:b w:val="0"/>
                <w:color w:val="172033"/>
                <w:sz w:val="15"/>
              </w:rPr>
              <w:t>Offline/degraded</w:t>
            </w:r>
          </w:p>
        </w:tc>
        <w:tc>
          <w:tcPr>
            <w:tcW w:type="dxa" w:w="5083"/>
          </w:tcPr>
          <w:p>
            <w:pPr>
              <w:spacing w:after="20"/>
            </w:pPr>
            <w:r/>
            <w:r>
              <w:rPr>
                <w:b w:val="0"/>
                <w:color w:val="172033"/>
                <w:sz w:val="15"/>
              </w:rPr>
              <w:t>Show last-known-good timestamp where safe; disable writes; keep deterministic demo path available.</w:t>
            </w:r>
          </w:p>
        </w:tc>
      </w:tr>
    </w:tbl>
    <w:p>
      <w:pPr>
        <w:spacing w:after="20"/>
      </w:pPr>
    </w:p>
    <w:p>
      <w:pPr>
        <w:pStyle w:val="Title"/>
      </w:pPr>
      <w:r>
        <w:t>19. Page-by-Page Build Blueprint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0233F"/>
          </w:tcPr>
          <w:p>
            <w:pPr>
              <w:spacing w:after="20"/>
            </w:pPr>
            <w:r/>
            <w:r>
              <w:rPr>
                <w:b/>
                <w:color w:val="FFFFFF"/>
                <w:sz w:val="15"/>
              </w:rPr>
              <w:t>Route</w:t>
            </w:r>
          </w:p>
        </w:tc>
        <w:tc>
          <w:tcPr>
            <w:tcW w:type="dxa" w:w="2541"/>
            <w:shd w:fill="10233F"/>
          </w:tcPr>
          <w:p>
            <w:pPr>
              <w:spacing w:after="20"/>
            </w:pPr>
            <w:r/>
            <w:r>
              <w:rPr>
                <w:b/>
                <w:color w:val="FFFFFF"/>
                <w:sz w:val="15"/>
              </w:rPr>
              <w:t>Screen</w:t>
            </w:r>
          </w:p>
        </w:tc>
        <w:tc>
          <w:tcPr>
            <w:tcW w:type="dxa" w:w="2541"/>
            <w:shd w:fill="10233F"/>
          </w:tcPr>
          <w:p>
            <w:pPr>
              <w:spacing w:after="20"/>
            </w:pPr>
            <w:r/>
            <w:r>
              <w:rPr>
                <w:b/>
                <w:color w:val="FFFFFF"/>
                <w:sz w:val="15"/>
              </w:rPr>
              <w:t>Required modules</w:t>
            </w:r>
          </w:p>
        </w:tc>
        <w:tc>
          <w:tcPr>
            <w:tcW w:type="dxa" w:w="2541"/>
            <w:shd w:fill="10233F"/>
          </w:tcPr>
          <w:p>
            <w:pPr>
              <w:spacing w:after="20"/>
            </w:pPr>
            <w:r/>
            <w:r>
              <w:rPr>
                <w:b/>
                <w:color w:val="FFFFFF"/>
                <w:sz w:val="15"/>
              </w:rPr>
              <w:t>Visual behavior</w:t>
            </w:r>
          </w:p>
        </w:tc>
      </w:tr>
      <w:tr>
        <w:tc>
          <w:tcPr>
            <w:tcW w:type="dxa" w:w="2541"/>
          </w:tcPr>
          <w:p>
            <w:pPr>
              <w:spacing w:after="20"/>
            </w:pPr>
            <w:r/>
            <w:r>
              <w:rPr>
                <w:b w:val="0"/>
                <w:color w:val="172033"/>
                <w:sz w:val="15"/>
              </w:rPr>
              <w:t>/</w:t>
            </w:r>
          </w:p>
        </w:tc>
        <w:tc>
          <w:tcPr>
            <w:tcW w:type="dxa" w:w="2541"/>
          </w:tcPr>
          <w:p>
            <w:pPr>
              <w:spacing w:after="20"/>
            </w:pPr>
            <w:r/>
            <w:r>
              <w:rPr>
                <w:b w:val="0"/>
                <w:color w:val="172033"/>
                <w:sz w:val="15"/>
              </w:rPr>
              <w:t>Cinematic Landing</w:t>
            </w:r>
          </w:p>
        </w:tc>
        <w:tc>
          <w:tcPr>
            <w:tcW w:type="dxa" w:w="2541"/>
          </w:tcPr>
          <w:p>
            <w:pPr>
              <w:spacing w:after="20"/>
            </w:pPr>
            <w:r/>
            <w:r>
              <w:rPr>
                <w:b w:val="0"/>
                <w:color w:val="172033"/>
                <w:sz w:val="15"/>
              </w:rPr>
              <w:t>Hero ecosystem network; value proposition; three live-looking intelligence cards; Track 05 capability strip; Problem→Prediction→Action→Impact scrollytelling; CTA to demo.</w:t>
            </w:r>
          </w:p>
        </w:tc>
        <w:tc>
          <w:tcPr>
            <w:tcW w:type="dxa" w:w="2541"/>
          </w:tcPr>
          <w:p>
            <w:pPr>
              <w:spacing w:after="20"/>
            </w:pPr>
            <w:r/>
            <w:r>
              <w:rPr>
                <w:b w:val="0"/>
                <w:color w:val="172033"/>
                <w:sz w:val="15"/>
              </w:rPr>
              <w:t>2.5D network pulses, parallax depth, scroll reveal; reduced-motion static fallback.</w:t>
            </w:r>
          </w:p>
        </w:tc>
      </w:tr>
      <w:tr>
        <w:tc>
          <w:tcPr>
            <w:tcW w:type="dxa" w:w="2541"/>
            <w:shd w:fill="F7F9FC"/>
          </w:tcPr>
          <w:p>
            <w:pPr>
              <w:spacing w:after="20"/>
            </w:pPr>
            <w:r/>
            <w:r>
              <w:rPr>
                <w:b w:val="0"/>
                <w:color w:val="172033"/>
                <w:sz w:val="15"/>
              </w:rPr>
              <w:t>/login</w:t>
            </w:r>
          </w:p>
        </w:tc>
        <w:tc>
          <w:tcPr>
            <w:tcW w:type="dxa" w:w="2541"/>
            <w:shd w:fill="F7F9FC"/>
          </w:tcPr>
          <w:p>
            <w:pPr>
              <w:spacing w:after="20"/>
            </w:pPr>
            <w:r/>
            <w:r>
              <w:rPr>
                <w:b w:val="0"/>
                <w:color w:val="172033"/>
                <w:sz w:val="15"/>
              </w:rPr>
              <w:t>Secure Access</w:t>
            </w:r>
          </w:p>
        </w:tc>
        <w:tc>
          <w:tcPr>
            <w:tcW w:type="dxa" w:w="2541"/>
            <w:shd w:fill="F7F9FC"/>
          </w:tcPr>
          <w:p>
            <w:pPr>
              <w:spacing w:after="20"/>
            </w:pPr>
            <w:r/>
            <w:r>
              <w:rPr>
                <w:b w:val="0"/>
                <w:color w:val="172033"/>
                <w:sz w:val="15"/>
              </w:rPr>
              <w:t>Premium split-screen login, demo persona quick-select, security note, synthetic-data badge.</w:t>
            </w:r>
          </w:p>
        </w:tc>
        <w:tc>
          <w:tcPr>
            <w:tcW w:type="dxa" w:w="2541"/>
            <w:shd w:fill="F7F9FC"/>
          </w:tcPr>
          <w:p>
            <w:pPr>
              <w:spacing w:after="20"/>
            </w:pPr>
            <w:r/>
            <w:r>
              <w:rPr>
                <w:b w:val="0"/>
                <w:color w:val="172033"/>
                <w:sz w:val="15"/>
              </w:rPr>
              <w:t>Subtle ambient node motion only.</w:t>
            </w:r>
          </w:p>
        </w:tc>
      </w:tr>
      <w:tr>
        <w:tc>
          <w:tcPr>
            <w:tcW w:type="dxa" w:w="2541"/>
          </w:tcPr>
          <w:p>
            <w:pPr>
              <w:spacing w:after="20"/>
            </w:pPr>
            <w:r/>
            <w:r>
              <w:rPr>
                <w:b w:val="0"/>
                <w:color w:val="172033"/>
                <w:sz w:val="15"/>
              </w:rPr>
              <w:t>/command-center</w:t>
            </w:r>
          </w:p>
        </w:tc>
        <w:tc>
          <w:tcPr>
            <w:tcW w:type="dxa" w:w="2541"/>
          </w:tcPr>
          <w:p>
            <w:pPr>
              <w:spacing w:after="20"/>
            </w:pPr>
            <w:r/>
            <w:r>
              <w:rPr>
                <w:b w:val="0"/>
                <w:color w:val="172033"/>
                <w:sz w:val="15"/>
              </w:rPr>
              <w:t>Intelligence Command Center</w:t>
            </w:r>
          </w:p>
        </w:tc>
        <w:tc>
          <w:tcPr>
            <w:tcW w:type="dxa" w:w="2541"/>
          </w:tcPr>
          <w:p>
            <w:pPr>
              <w:spacing w:after="20"/>
            </w:pPr>
            <w:r/>
            <w:r>
              <w:rPr>
                <w:b w:val="0"/>
                <w:color w:val="172033"/>
                <w:sz w:val="15"/>
              </w:rPr>
              <w:t>KPI rail; priority action queue; ecosystem map; demand/liquidity trends; AI insight feed; open interventions; scenario switcher.</w:t>
            </w:r>
          </w:p>
        </w:tc>
        <w:tc>
          <w:tcPr>
            <w:tcW w:type="dxa" w:w="2541"/>
          </w:tcPr>
          <w:p>
            <w:pPr>
              <w:spacing w:after="20"/>
            </w:pPr>
            <w:r/>
            <w:r>
              <w:rPr>
                <w:b w:val="0"/>
                <w:color w:val="172033"/>
                <w:sz w:val="15"/>
              </w:rPr>
              <w:t>Map depth, animated counters, hover-linked map/cards.</w:t>
            </w:r>
          </w:p>
        </w:tc>
      </w:tr>
      <w:tr>
        <w:tc>
          <w:tcPr>
            <w:tcW w:type="dxa" w:w="2541"/>
            <w:shd w:fill="F7F9FC"/>
          </w:tcPr>
          <w:p>
            <w:pPr>
              <w:spacing w:after="20"/>
            </w:pPr>
            <w:r/>
            <w:r>
              <w:rPr>
                <w:b w:val="0"/>
                <w:color w:val="172033"/>
                <w:sz w:val="15"/>
              </w:rPr>
              <w:t>/merchants</w:t>
            </w:r>
          </w:p>
        </w:tc>
        <w:tc>
          <w:tcPr>
            <w:tcW w:type="dxa" w:w="2541"/>
            <w:shd w:fill="F7F9FC"/>
          </w:tcPr>
          <w:p>
            <w:pPr>
              <w:spacing w:after="20"/>
            </w:pPr>
            <w:r/>
            <w:r>
              <w:rPr>
                <w:b w:val="0"/>
                <w:color w:val="172033"/>
                <w:sz w:val="15"/>
              </w:rPr>
              <w:t>Merchant Portfolio</w:t>
            </w:r>
          </w:p>
        </w:tc>
        <w:tc>
          <w:tcPr>
            <w:tcW w:type="dxa" w:w="2541"/>
            <w:shd w:fill="F7F9FC"/>
          </w:tcPr>
          <w:p>
            <w:pPr>
              <w:spacing w:after="20"/>
            </w:pPr>
            <w:r/>
            <w:r>
              <w:rPr>
                <w:b w:val="0"/>
                <w:color w:val="172033"/>
                <w:sz w:val="15"/>
              </w:rPr>
              <w:t>Search/filter; risk/opportunity segmentation; sortable table/cards; mini forecasts; cohort distribution.</w:t>
            </w:r>
          </w:p>
        </w:tc>
        <w:tc>
          <w:tcPr>
            <w:tcW w:type="dxa" w:w="2541"/>
            <w:shd w:fill="F7F9FC"/>
          </w:tcPr>
          <w:p>
            <w:pPr>
              <w:spacing w:after="20"/>
            </w:pPr>
            <w:r/>
            <w:r>
              <w:rPr>
                <w:b w:val="0"/>
                <w:color w:val="172033"/>
                <w:sz w:val="15"/>
              </w:rPr>
              <w:t>Staggered card reveal; no decorative 3D on dense table.</w:t>
            </w:r>
          </w:p>
        </w:tc>
      </w:tr>
      <w:tr>
        <w:tc>
          <w:tcPr>
            <w:tcW w:type="dxa" w:w="2541"/>
          </w:tcPr>
          <w:p>
            <w:pPr>
              <w:spacing w:after="20"/>
            </w:pPr>
            <w:r/>
            <w:r>
              <w:rPr>
                <w:b w:val="0"/>
                <w:color w:val="172033"/>
                <w:sz w:val="15"/>
              </w:rPr>
              <w:t>/merchants/[id]</w:t>
            </w:r>
          </w:p>
        </w:tc>
        <w:tc>
          <w:tcPr>
            <w:tcW w:type="dxa" w:w="2541"/>
          </w:tcPr>
          <w:p>
            <w:pPr>
              <w:spacing w:after="20"/>
            </w:pPr>
            <w:r/>
            <w:r>
              <w:rPr>
                <w:b w:val="0"/>
                <w:color w:val="172033"/>
                <w:sz w:val="15"/>
              </w:rPr>
              <w:t>Merchant 360</w:t>
            </w:r>
          </w:p>
        </w:tc>
        <w:tc>
          <w:tcPr>
            <w:tcW w:type="dxa" w:w="2541"/>
          </w:tcPr>
          <w:p>
            <w:pPr>
              <w:spacing w:after="20"/>
            </w:pPr>
            <w:r/>
            <w:r>
              <w:rPr>
                <w:b w:val="0"/>
                <w:color w:val="172033"/>
                <w:sz w:val="15"/>
              </w:rPr>
              <w:t>Header health strip; forecast; churn; benchmark; growth recommendations; timeline; intervention drawer; explanation panel.</w:t>
            </w:r>
          </w:p>
        </w:tc>
        <w:tc>
          <w:tcPr>
            <w:tcW w:type="dxa" w:w="2541"/>
          </w:tcPr>
          <w:p>
            <w:pPr>
              <w:spacing w:after="20"/>
            </w:pPr>
            <w:r/>
            <w:r>
              <w:rPr>
                <w:b w:val="0"/>
                <w:color w:val="172033"/>
                <w:sz w:val="15"/>
              </w:rPr>
              <w:t>Digital-twin node halo; chart morph between horizons.</w:t>
            </w:r>
          </w:p>
        </w:tc>
      </w:tr>
      <w:tr>
        <w:tc>
          <w:tcPr>
            <w:tcW w:type="dxa" w:w="2541"/>
            <w:shd w:fill="F7F9FC"/>
          </w:tcPr>
          <w:p>
            <w:pPr>
              <w:spacing w:after="20"/>
            </w:pPr>
            <w:r/>
            <w:r>
              <w:rPr>
                <w:b w:val="0"/>
                <w:color w:val="172033"/>
                <w:sz w:val="15"/>
              </w:rPr>
              <w:t>/agents</w:t>
            </w:r>
          </w:p>
        </w:tc>
        <w:tc>
          <w:tcPr>
            <w:tcW w:type="dxa" w:w="2541"/>
            <w:shd w:fill="F7F9FC"/>
          </w:tcPr>
          <w:p>
            <w:pPr>
              <w:spacing w:after="20"/>
            </w:pPr>
            <w:r/>
            <w:r>
              <w:rPr>
                <w:b w:val="0"/>
                <w:color w:val="172033"/>
                <w:sz w:val="15"/>
              </w:rPr>
              <w:t>Agent Network</w:t>
            </w:r>
          </w:p>
        </w:tc>
        <w:tc>
          <w:tcPr>
            <w:tcW w:type="dxa" w:w="2541"/>
            <w:shd w:fill="F7F9FC"/>
          </w:tcPr>
          <w:p>
            <w:pPr>
              <w:spacing w:after="20"/>
            </w:pPr>
            <w:r/>
            <w:r>
              <w:rPr>
                <w:b w:val="0"/>
                <w:color w:val="172033"/>
                <w:sz w:val="15"/>
              </w:rPr>
              <w:t>Liquidity-pressure matrix; map; agent list; emerging performers; anomaly summary.</w:t>
            </w:r>
          </w:p>
        </w:tc>
        <w:tc>
          <w:tcPr>
            <w:tcW w:type="dxa" w:w="2541"/>
            <w:shd w:fill="F7F9FC"/>
          </w:tcPr>
          <w:p>
            <w:pPr>
              <w:spacing w:after="20"/>
            </w:pPr>
            <w:r/>
            <w:r>
              <w:rPr>
                <w:b w:val="0"/>
                <w:color w:val="172033"/>
                <w:sz w:val="15"/>
              </w:rPr>
              <w:t>Pressure ripple on map, restrained.</w:t>
            </w:r>
          </w:p>
        </w:tc>
      </w:tr>
      <w:tr>
        <w:tc>
          <w:tcPr>
            <w:tcW w:type="dxa" w:w="2541"/>
          </w:tcPr>
          <w:p>
            <w:pPr>
              <w:spacing w:after="20"/>
            </w:pPr>
            <w:r/>
            <w:r>
              <w:rPr>
                <w:b w:val="0"/>
                <w:color w:val="172033"/>
                <w:sz w:val="15"/>
              </w:rPr>
              <w:t>/agents/[id]</w:t>
            </w:r>
          </w:p>
        </w:tc>
        <w:tc>
          <w:tcPr>
            <w:tcW w:type="dxa" w:w="2541"/>
          </w:tcPr>
          <w:p>
            <w:pPr>
              <w:spacing w:after="20"/>
            </w:pPr>
            <w:r/>
            <w:r>
              <w:rPr>
                <w:b w:val="0"/>
                <w:color w:val="172033"/>
                <w:sz w:val="15"/>
              </w:rPr>
              <w:t>Agent 360</w:t>
            </w:r>
          </w:p>
        </w:tc>
        <w:tc>
          <w:tcPr>
            <w:tcW w:type="dxa" w:w="2541"/>
          </w:tcPr>
          <w:p>
            <w:pPr>
              <w:spacing w:after="20"/>
            </w:pPr>
            <w:r/>
            <w:r>
              <w:rPr>
                <w:b w:val="0"/>
                <w:color w:val="172033"/>
                <w:sz w:val="15"/>
              </w:rPr>
              <w:t>Liquidity forecast; pressure timeline; cash-in/out composition; performance; anomaly evidence; what-if buffer; action CTA.</w:t>
            </w:r>
          </w:p>
        </w:tc>
        <w:tc>
          <w:tcPr>
            <w:tcW w:type="dxa" w:w="2541"/>
          </w:tcPr>
          <w:p>
            <w:pPr>
              <w:spacing w:after="20"/>
            </w:pPr>
            <w:r/>
            <w:r>
              <w:rPr>
                <w:b w:val="0"/>
                <w:color w:val="172033"/>
                <w:sz w:val="15"/>
              </w:rPr>
              <w:t>Interactive depth gauge; animated forecast band.</w:t>
            </w:r>
          </w:p>
        </w:tc>
      </w:tr>
      <w:tr>
        <w:tc>
          <w:tcPr>
            <w:tcW w:type="dxa" w:w="2541"/>
            <w:shd w:fill="F7F9FC"/>
          </w:tcPr>
          <w:p>
            <w:pPr>
              <w:spacing w:after="20"/>
            </w:pPr>
            <w:r/>
            <w:r>
              <w:rPr>
                <w:b w:val="0"/>
                <w:color w:val="172033"/>
                <w:sz w:val="15"/>
              </w:rPr>
              <w:t>/locations</w:t>
            </w:r>
          </w:p>
        </w:tc>
        <w:tc>
          <w:tcPr>
            <w:tcW w:type="dxa" w:w="2541"/>
            <w:shd w:fill="F7F9FC"/>
          </w:tcPr>
          <w:p>
            <w:pPr>
              <w:spacing w:after="20"/>
            </w:pPr>
            <w:r/>
            <w:r>
              <w:rPr>
                <w:b w:val="0"/>
                <w:color w:val="172033"/>
                <w:sz w:val="15"/>
              </w:rPr>
              <w:t>Location Intelligence</w:t>
            </w:r>
          </w:p>
        </w:tc>
        <w:tc>
          <w:tcPr>
            <w:tcW w:type="dxa" w:w="2541"/>
            <w:shd w:fill="F7F9FC"/>
          </w:tcPr>
          <w:p>
            <w:pPr>
              <w:spacing w:after="20"/>
            </w:pPr>
            <w:r/>
            <w:r>
              <w:rPr>
                <w:b w:val="0"/>
                <w:color w:val="172033"/>
                <w:sz w:val="15"/>
              </w:rPr>
              <w:t>Full-screen map; opportunity ranking; layers; candidate detail side panel; before/after network simulator.</w:t>
            </w:r>
          </w:p>
        </w:tc>
        <w:tc>
          <w:tcPr>
            <w:tcW w:type="dxa" w:w="2541"/>
            <w:shd w:fill="F7F9FC"/>
          </w:tcPr>
          <w:p>
            <w:pPr>
              <w:spacing w:after="20"/>
            </w:pPr>
            <w:r/>
            <w:r>
              <w:rPr>
                <w:b w:val="0"/>
                <w:color w:val="172033"/>
                <w:sz w:val="15"/>
              </w:rPr>
              <w:t>2.5D extruded opportunity cells; 2D fallback.</w:t>
            </w:r>
          </w:p>
        </w:tc>
      </w:tr>
      <w:tr>
        <w:tc>
          <w:tcPr>
            <w:tcW w:type="dxa" w:w="2541"/>
          </w:tcPr>
          <w:p>
            <w:pPr>
              <w:spacing w:after="20"/>
            </w:pPr>
            <w:r/>
            <w:r>
              <w:rPr>
                <w:b w:val="0"/>
                <w:color w:val="172033"/>
                <w:sz w:val="15"/>
              </w:rPr>
              <w:t>/interventions</w:t>
            </w:r>
          </w:p>
        </w:tc>
        <w:tc>
          <w:tcPr>
            <w:tcW w:type="dxa" w:w="2541"/>
          </w:tcPr>
          <w:p>
            <w:pPr>
              <w:spacing w:after="20"/>
            </w:pPr>
            <w:r/>
            <w:r>
              <w:rPr>
                <w:b w:val="0"/>
                <w:color w:val="172033"/>
                <w:sz w:val="15"/>
              </w:rPr>
              <w:t>Action Center</w:t>
            </w:r>
          </w:p>
        </w:tc>
        <w:tc>
          <w:tcPr>
            <w:tcW w:type="dxa" w:w="2541"/>
          </w:tcPr>
          <w:p>
            <w:pPr>
              <w:spacing w:after="20"/>
            </w:pPr>
            <w:r/>
            <w:r>
              <w:rPr>
                <w:b w:val="0"/>
                <w:color w:val="172033"/>
                <w:sz w:val="15"/>
              </w:rPr>
              <w:t>Kanban/list toggle; owner/SLA/status; linked AI evidence; outcome capture.</w:t>
            </w:r>
          </w:p>
        </w:tc>
        <w:tc>
          <w:tcPr>
            <w:tcW w:type="dxa" w:w="2541"/>
          </w:tcPr>
          <w:p>
            <w:pPr>
              <w:spacing w:after="20"/>
            </w:pPr>
            <w:r/>
            <w:r>
              <w:rPr>
                <w:b w:val="0"/>
                <w:color w:val="172033"/>
                <w:sz w:val="15"/>
              </w:rPr>
              <w:t>Drag interaction optional; keyboard alternative required.</w:t>
            </w:r>
          </w:p>
        </w:tc>
      </w:tr>
      <w:tr>
        <w:tc>
          <w:tcPr>
            <w:tcW w:type="dxa" w:w="2541"/>
            <w:shd w:fill="F7F9FC"/>
          </w:tcPr>
          <w:p>
            <w:pPr>
              <w:spacing w:after="20"/>
            </w:pPr>
            <w:r/>
            <w:r>
              <w:rPr>
                <w:b w:val="0"/>
                <w:color w:val="172033"/>
                <w:sz w:val="15"/>
              </w:rPr>
              <w:t>/models</w:t>
            </w:r>
          </w:p>
        </w:tc>
        <w:tc>
          <w:tcPr>
            <w:tcW w:type="dxa" w:w="2541"/>
            <w:shd w:fill="F7F9FC"/>
          </w:tcPr>
          <w:p>
            <w:pPr>
              <w:spacing w:after="20"/>
            </w:pPr>
            <w:r/>
            <w:r>
              <w:rPr>
                <w:b w:val="0"/>
                <w:color w:val="172033"/>
                <w:sz w:val="15"/>
              </w:rPr>
              <w:t>AI Governance</w:t>
            </w:r>
          </w:p>
        </w:tc>
        <w:tc>
          <w:tcPr>
            <w:tcW w:type="dxa" w:w="2541"/>
            <w:shd w:fill="F7F9FC"/>
          </w:tcPr>
          <w:p>
            <w:pPr>
              <w:spacing w:after="20"/>
            </w:pPr>
            <w:r/>
            <w:r>
              <w:rPr>
                <w:b w:val="0"/>
                <w:color w:val="172033"/>
                <w:sz w:val="15"/>
              </w:rPr>
              <w:t>Model cards; metrics; calibration; drift; fairness; limitations; versions; activation status.</w:t>
            </w:r>
          </w:p>
        </w:tc>
        <w:tc>
          <w:tcPr>
            <w:tcW w:type="dxa" w:w="2541"/>
            <w:shd w:fill="F7F9FC"/>
          </w:tcPr>
          <w:p>
            <w:pPr>
              <w:spacing w:after="20"/>
            </w:pPr>
            <w:r/>
            <w:r>
              <w:rPr>
                <w:b w:val="0"/>
                <w:color w:val="172033"/>
                <w:sz w:val="15"/>
              </w:rPr>
              <w:t>Minimal motion; credibility-first.</w:t>
            </w:r>
          </w:p>
        </w:tc>
      </w:tr>
      <w:tr>
        <w:tc>
          <w:tcPr>
            <w:tcW w:type="dxa" w:w="2541"/>
          </w:tcPr>
          <w:p>
            <w:pPr>
              <w:spacing w:after="20"/>
            </w:pPr>
            <w:r/>
            <w:r>
              <w:rPr>
                <w:b w:val="0"/>
                <w:color w:val="172033"/>
                <w:sz w:val="15"/>
              </w:rPr>
              <w:t>/admin</w:t>
            </w:r>
          </w:p>
        </w:tc>
        <w:tc>
          <w:tcPr>
            <w:tcW w:type="dxa" w:w="2541"/>
          </w:tcPr>
          <w:p>
            <w:pPr>
              <w:spacing w:after="20"/>
            </w:pPr>
            <w:r/>
            <w:r>
              <w:rPr>
                <w:b w:val="0"/>
                <w:color w:val="172033"/>
                <w:sz w:val="15"/>
              </w:rPr>
              <w:t>Administration</w:t>
            </w:r>
          </w:p>
        </w:tc>
        <w:tc>
          <w:tcPr>
            <w:tcW w:type="dxa" w:w="2541"/>
          </w:tcPr>
          <w:p>
            <w:pPr>
              <w:spacing w:after="20"/>
            </w:pPr>
            <w:r/>
            <w:r>
              <w:rPr>
                <w:b w:val="0"/>
                <w:color w:val="172033"/>
                <w:sz w:val="15"/>
              </w:rPr>
              <w:t>Users/roles; thresholds; feature flags; model activation; audit explorer; system health.</w:t>
            </w:r>
          </w:p>
        </w:tc>
        <w:tc>
          <w:tcPr>
            <w:tcW w:type="dxa" w:w="2541"/>
          </w:tcPr>
          <w:p>
            <w:pPr>
              <w:spacing w:after="20"/>
            </w:pPr>
            <w:r/>
            <w:r>
              <w:rPr>
                <w:b w:val="0"/>
                <w:color w:val="172033"/>
                <w:sz w:val="15"/>
              </w:rPr>
              <w:t>No cinematic effects; security-first.</w:t>
            </w:r>
          </w:p>
        </w:tc>
      </w:tr>
    </w:tbl>
    <w:p>
      <w:pPr>
        <w:spacing w:after="20"/>
      </w:pPr>
    </w:p>
    <w:p>
      <w:pPr>
        <w:pStyle w:val="Title"/>
      </w:pPr>
      <w:r>
        <w:t>20. Premium UI/UX Design System</w:t>
      </w:r>
    </w:p>
    <w:tbl>
      <w:tblPr>
        <w:tblStyle w:val="TableGrid"/>
        <w:tblW w:type="auto" w:w="0"/>
        <w:tblLook w:firstColumn="1" w:firstRow="1" w:lastColumn="0" w:lastRow="0" w:noHBand="0" w:noVBand="1" w:val="04A0"/>
      </w:tblPr>
      <w:tblGrid>
        <w:gridCol w:w="10166"/>
      </w:tblGrid>
      <w:tr>
        <w:tc>
          <w:tcPr>
            <w:tcW w:type="dxa" w:w="10166"/>
            <w:shd w:fill="E8F7F4"/>
          </w:tcPr>
          <w:p>
            <w:r/>
            <w:r>
              <w:rPr>
                <w:b/>
                <w:color w:val="1F5EFF"/>
              </w:rPr>
              <w:t xml:space="preserve">DESIGN INTENT  </w:t>
            </w:r>
            <w:r>
              <w:t>The product should feel like a modern fintech intelligence operating system: premium, calm, spatial and memorable. Uniqueness comes from coherent interaction and information hierarchy—not excessive neon, glassmorphism or animation.</w:t>
            </w:r>
          </w:p>
        </w:tc>
      </w:tr>
    </w:tbl>
    <w:p>
      <w:pPr>
        <w:spacing w:after="20"/>
      </w:pPr>
    </w:p>
    <w:p>
      <w:pPr>
        <w:pStyle w:val="Heading1"/>
      </w:pPr>
      <w:r>
        <w:t>20.1 Visual Language</w:t>
      </w:r>
    </w:p>
    <w:p>
      <w:pPr>
        <w:pStyle w:val="ListBullet"/>
        <w:spacing w:after="40"/>
      </w:pPr>
      <w:r>
        <w:t>Use a deep navy/ink foundation with clean off-white surfaces and restrained electric blue/teal accents. Reserve red/amber for risk states only.</w:t>
      </w:r>
    </w:p>
    <w:p>
      <w:pPr>
        <w:pStyle w:val="ListBullet"/>
        <w:spacing w:after="40"/>
      </w:pPr>
      <w:r>
        <w:t>Use large editorial display typography for story/hero pages and compact high-legibility UI typography for operational screens.</w:t>
      </w:r>
    </w:p>
    <w:p>
      <w:pPr>
        <w:pStyle w:val="ListBullet"/>
        <w:spacing w:after="40"/>
      </w:pPr>
      <w:r>
        <w:t>Cards use 12–20px radius, thin borders, soft layered shadows and subtle inner highlights; avoid excessive transparent glass.</w:t>
      </w:r>
    </w:p>
    <w:p>
      <w:pPr>
        <w:pStyle w:val="ListBullet"/>
        <w:spacing w:after="40"/>
      </w:pPr>
      <w:r>
        <w:t>Create a consistent node motif representing merchants and agents; node rings communicate confidence/status without relying on color alone.</w:t>
      </w:r>
    </w:p>
    <w:p>
      <w:pPr>
        <w:pStyle w:val="ListBullet"/>
        <w:spacing w:after="40"/>
      </w:pPr>
      <w:r>
        <w:t>Charts use the same semantic vocabulary across pages: actual = solid, forecast = dashed/soft band, uncertainty = translucent band, anomaly = marker.</w:t>
      </w:r>
    </w:p>
    <w:p>
      <w:pPr>
        <w:pStyle w:val="ListBullet"/>
        <w:spacing w:after="40"/>
      </w:pPr>
      <w:r>
        <w:t>Every dashboard should have one dominant visual anchor; avoid equal-weight card grids everywhere.</w:t>
      </w:r>
    </w:p>
    <w:p>
      <w:pPr>
        <w:pStyle w:val="Heading1"/>
      </w:pPr>
      <w:r>
        <w:t>20.2 Motion &amp; Microinteraction Specification</w:t>
      </w:r>
    </w:p>
    <w:tbl>
      <w:tblPr>
        <w:tblStyle w:val="TableGrid"/>
        <w:tblW w:type="auto" w:w="0"/>
        <w:jc w:val="center"/>
        <w:tblLook w:firstColumn="1" w:firstRow="1" w:lastColumn="0" w:lastRow="0" w:noHBand="0" w:noVBand="1" w:val="04A0"/>
      </w:tblPr>
      <w:tblGrid>
        <w:gridCol w:w="5083"/>
        <w:gridCol w:w="5083"/>
      </w:tblGrid>
      <w:tr>
        <w:tc>
          <w:tcPr>
            <w:tcW w:type="dxa" w:w="5083"/>
            <w:shd w:fill="10233F"/>
          </w:tcPr>
          <w:p>
            <w:pPr>
              <w:spacing w:after="20"/>
            </w:pPr>
            <w:r/>
            <w:r>
              <w:rPr>
                <w:b/>
                <w:color w:val="FFFFFF"/>
                <w:sz w:val="15"/>
              </w:rPr>
              <w:t>Interaction</w:t>
            </w:r>
          </w:p>
        </w:tc>
        <w:tc>
          <w:tcPr>
            <w:tcW w:type="dxa" w:w="5083"/>
            <w:shd w:fill="10233F"/>
          </w:tcPr>
          <w:p>
            <w:pPr>
              <w:spacing w:after="20"/>
            </w:pPr>
            <w:r/>
            <w:r>
              <w:rPr>
                <w:b/>
                <w:color w:val="FFFFFF"/>
                <w:sz w:val="15"/>
              </w:rPr>
              <w:t>Behavior</w:t>
            </w:r>
          </w:p>
        </w:tc>
      </w:tr>
      <w:tr>
        <w:tc>
          <w:tcPr>
            <w:tcW w:type="dxa" w:w="5083"/>
          </w:tcPr>
          <w:p>
            <w:pPr>
              <w:spacing w:after="20"/>
            </w:pPr>
            <w:r/>
            <w:r>
              <w:rPr>
                <w:b w:val="0"/>
                <w:color w:val="172033"/>
                <w:sz w:val="15"/>
              </w:rPr>
              <w:t>Page transition</w:t>
            </w:r>
          </w:p>
        </w:tc>
        <w:tc>
          <w:tcPr>
            <w:tcW w:type="dxa" w:w="5083"/>
          </w:tcPr>
          <w:p>
            <w:pPr>
              <w:spacing w:after="20"/>
            </w:pPr>
            <w:r/>
            <w:r>
              <w:rPr>
                <w:b w:val="0"/>
                <w:color w:val="172033"/>
                <w:sz w:val="15"/>
              </w:rPr>
              <w:t>150–250ms opacity/translate; never block navigation.</w:t>
            </w:r>
          </w:p>
        </w:tc>
      </w:tr>
      <w:tr>
        <w:tc>
          <w:tcPr>
            <w:tcW w:type="dxa" w:w="5083"/>
            <w:shd w:fill="F7F9FC"/>
          </w:tcPr>
          <w:p>
            <w:pPr>
              <w:spacing w:after="20"/>
            </w:pPr>
            <w:r/>
            <w:r>
              <w:rPr>
                <w:b w:val="0"/>
                <w:color w:val="172033"/>
                <w:sz w:val="15"/>
              </w:rPr>
              <w:t>Card hover</w:t>
            </w:r>
          </w:p>
        </w:tc>
        <w:tc>
          <w:tcPr>
            <w:tcW w:type="dxa" w:w="5083"/>
            <w:shd w:fill="F7F9FC"/>
          </w:tcPr>
          <w:p>
            <w:pPr>
              <w:spacing w:after="20"/>
            </w:pPr>
            <w:r/>
            <w:r>
              <w:rPr>
                <w:b w:val="0"/>
                <w:color w:val="172033"/>
                <w:sz w:val="15"/>
              </w:rPr>
              <w:t>2–4px lift + border emphasis; no dramatic tilt on data-heavy screens.</w:t>
            </w:r>
          </w:p>
        </w:tc>
      </w:tr>
      <w:tr>
        <w:tc>
          <w:tcPr>
            <w:tcW w:type="dxa" w:w="5083"/>
          </w:tcPr>
          <w:p>
            <w:pPr>
              <w:spacing w:after="20"/>
            </w:pPr>
            <w:r/>
            <w:r>
              <w:rPr>
                <w:b w:val="0"/>
                <w:color w:val="172033"/>
                <w:sz w:val="15"/>
              </w:rPr>
              <w:t>KPI update</w:t>
            </w:r>
          </w:p>
        </w:tc>
        <w:tc>
          <w:tcPr>
            <w:tcW w:type="dxa" w:w="5083"/>
          </w:tcPr>
          <w:p>
            <w:pPr>
              <w:spacing w:after="20"/>
            </w:pPr>
            <w:r/>
            <w:r>
              <w:rPr>
                <w:b w:val="0"/>
                <w:color w:val="172033"/>
                <w:sz w:val="15"/>
              </w:rPr>
              <w:t>Number tween only when data changes; respect reduced motion.</w:t>
            </w:r>
          </w:p>
        </w:tc>
      </w:tr>
      <w:tr>
        <w:tc>
          <w:tcPr>
            <w:tcW w:type="dxa" w:w="5083"/>
            <w:shd w:fill="F7F9FC"/>
          </w:tcPr>
          <w:p>
            <w:pPr>
              <w:spacing w:after="20"/>
            </w:pPr>
            <w:r/>
            <w:r>
              <w:rPr>
                <w:b w:val="0"/>
                <w:color w:val="172033"/>
                <w:sz w:val="15"/>
              </w:rPr>
              <w:t>Chart transition</w:t>
            </w:r>
          </w:p>
        </w:tc>
        <w:tc>
          <w:tcPr>
            <w:tcW w:type="dxa" w:w="5083"/>
            <w:shd w:fill="F7F9FC"/>
          </w:tcPr>
          <w:p>
            <w:pPr>
              <w:spacing w:after="20"/>
            </w:pPr>
            <w:r/>
            <w:r>
              <w:rPr>
                <w:b w:val="0"/>
                <w:color w:val="172033"/>
                <w:sz w:val="15"/>
              </w:rPr>
              <w:t>Morph/sweep 300–600ms; preserve axes and context.</w:t>
            </w:r>
          </w:p>
        </w:tc>
      </w:tr>
      <w:tr>
        <w:tc>
          <w:tcPr>
            <w:tcW w:type="dxa" w:w="5083"/>
          </w:tcPr>
          <w:p>
            <w:pPr>
              <w:spacing w:after="20"/>
            </w:pPr>
            <w:r/>
            <w:r>
              <w:rPr>
                <w:b w:val="0"/>
                <w:color w:val="172033"/>
                <w:sz w:val="15"/>
              </w:rPr>
              <w:t>Map selection</w:t>
            </w:r>
          </w:p>
        </w:tc>
        <w:tc>
          <w:tcPr>
            <w:tcW w:type="dxa" w:w="5083"/>
          </w:tcPr>
          <w:p>
            <w:pPr>
              <w:spacing w:after="20"/>
            </w:pPr>
            <w:r/>
            <w:r>
              <w:rPr>
                <w:b w:val="0"/>
                <w:color w:val="172033"/>
                <w:sz w:val="15"/>
              </w:rPr>
              <w:t>Selected node/cell expands halo and synchronizes side panel.</w:t>
            </w:r>
          </w:p>
        </w:tc>
      </w:tr>
      <w:tr>
        <w:tc>
          <w:tcPr>
            <w:tcW w:type="dxa" w:w="5083"/>
            <w:shd w:fill="F7F9FC"/>
          </w:tcPr>
          <w:p>
            <w:pPr>
              <w:spacing w:after="20"/>
            </w:pPr>
            <w:r/>
            <w:r>
              <w:rPr>
                <w:b w:val="0"/>
                <w:color w:val="172033"/>
                <w:sz w:val="15"/>
              </w:rPr>
              <w:t>AI explanation</w:t>
            </w:r>
          </w:p>
        </w:tc>
        <w:tc>
          <w:tcPr>
            <w:tcW w:type="dxa" w:w="5083"/>
            <w:shd w:fill="F7F9FC"/>
          </w:tcPr>
          <w:p>
            <w:pPr>
              <w:spacing w:after="20"/>
            </w:pPr>
            <w:r/>
            <w:r>
              <w:rPr>
                <w:b w:val="0"/>
                <w:color w:val="172033"/>
                <w:sz w:val="15"/>
              </w:rPr>
              <w:t>Progressive reveal of reason codes before narrative explanation.</w:t>
            </w:r>
          </w:p>
        </w:tc>
      </w:tr>
      <w:tr>
        <w:tc>
          <w:tcPr>
            <w:tcW w:type="dxa" w:w="5083"/>
          </w:tcPr>
          <w:p>
            <w:pPr>
              <w:spacing w:after="20"/>
            </w:pPr>
            <w:r/>
            <w:r>
              <w:rPr>
                <w:b w:val="0"/>
                <w:color w:val="172033"/>
                <w:sz w:val="15"/>
              </w:rPr>
              <w:t>Alert</w:t>
            </w:r>
          </w:p>
        </w:tc>
        <w:tc>
          <w:tcPr>
            <w:tcW w:type="dxa" w:w="5083"/>
          </w:tcPr>
          <w:p>
            <w:pPr>
              <w:spacing w:after="20"/>
            </w:pPr>
            <w:r/>
            <w:r>
              <w:rPr>
                <w:b w:val="0"/>
                <w:color w:val="172033"/>
                <w:sz w:val="15"/>
              </w:rPr>
              <w:t>Pulse at most briefly on first appearance; persistent flashing prohibited.</w:t>
            </w:r>
          </w:p>
        </w:tc>
      </w:tr>
      <w:tr>
        <w:tc>
          <w:tcPr>
            <w:tcW w:type="dxa" w:w="5083"/>
            <w:shd w:fill="F7F9FC"/>
          </w:tcPr>
          <w:p>
            <w:pPr>
              <w:spacing w:after="20"/>
            </w:pPr>
            <w:r/>
            <w:r>
              <w:rPr>
                <w:b w:val="0"/>
                <w:color w:val="172033"/>
                <w:sz w:val="15"/>
              </w:rPr>
              <w:t>Success action</w:t>
            </w:r>
          </w:p>
        </w:tc>
        <w:tc>
          <w:tcPr>
            <w:tcW w:type="dxa" w:w="5083"/>
            <w:shd w:fill="F7F9FC"/>
          </w:tcPr>
          <w:p>
            <w:pPr>
              <w:spacing w:after="20"/>
            </w:pPr>
            <w:r/>
            <w:r>
              <w:rPr>
                <w:b w:val="0"/>
                <w:color w:val="172033"/>
                <w:sz w:val="15"/>
              </w:rPr>
              <w:t>Small confirmation state + timeline update; no confetti in operational workflows.</w:t>
            </w:r>
          </w:p>
        </w:tc>
      </w:tr>
    </w:tbl>
    <w:p>
      <w:pPr>
        <w:spacing w:after="20"/>
      </w:pPr>
    </w:p>
    <w:p>
      <w:pPr>
        <w:pStyle w:val="Heading1"/>
      </w:pPr>
      <w:r>
        <w:t>20.3 Component Inventory</w:t>
      </w:r>
    </w:p>
    <w:p>
      <w:pPr>
        <w:pStyle w:val="ListBullet"/>
        <w:spacing w:after="40"/>
      </w:pPr>
      <w:r>
        <w:t>AppShell, SideNav, TopBar, GlobalFilterBar, CommandPalette, PersonaSwitcher</w:t>
      </w:r>
    </w:p>
    <w:p>
      <w:pPr>
        <w:pStyle w:val="ListBullet"/>
        <w:spacing w:after="40"/>
      </w:pPr>
      <w:r>
        <w:t>KpiCard, TrendKpi, ConfidenceBadge, RiskBadge, FreshnessBadge, SyntheticDataBadge</w:t>
      </w:r>
    </w:p>
    <w:p>
      <w:pPr>
        <w:pStyle w:val="ListBullet"/>
        <w:spacing w:after="40"/>
      </w:pPr>
      <w:r>
        <w:t>ForecastChart, ActualVsForecastChart, QuantileBand, BenchmarkChart, CohortRadar, ContributionBar</w:t>
      </w:r>
    </w:p>
    <w:p>
      <w:pPr>
        <w:pStyle w:val="ListBullet"/>
        <w:spacing w:after="40"/>
      </w:pPr>
      <w:r>
        <w:t>EcosystemMap, HeatLayer, NodeCluster, OpportunityExtrusion, MapLegend, GeoDetailPanel</w:t>
      </w:r>
    </w:p>
    <w:p>
      <w:pPr>
        <w:pStyle w:val="ListBullet"/>
        <w:spacing w:after="40"/>
      </w:pPr>
      <w:r>
        <w:t>InsightCard, ReasonCodeList, RecommendationCard, ActionDrawer, InterventionTimeline</w:t>
      </w:r>
    </w:p>
    <w:p>
      <w:pPr>
        <w:pStyle w:val="ListBullet"/>
        <w:spacing w:after="40"/>
      </w:pPr>
      <w:r>
        <w:t>LiquidityGauge, PressureTimeline, BufferSimulator, AnomalyEvidencePanel</w:t>
      </w:r>
    </w:p>
    <w:p>
      <w:pPr>
        <w:pStyle w:val="ListBullet"/>
        <w:spacing w:after="40"/>
      </w:pPr>
      <w:r>
        <w:t>DataTable, SmartFilters, SavedView, Pagination/CursorControls</w:t>
      </w:r>
    </w:p>
    <w:p>
      <w:pPr>
        <w:pStyle w:val="ListBullet"/>
        <w:spacing w:after="40"/>
      </w:pPr>
      <w:r>
        <w:t>ModelCard, MetricTile, CalibrationPlot, DriftPanel, FairnessPanel, LimitationCallout</w:t>
      </w:r>
    </w:p>
    <w:p>
      <w:pPr>
        <w:pStyle w:val="ListBullet"/>
        <w:spacing w:after="40"/>
      </w:pPr>
      <w:r>
        <w:t>Skeleton, EmptyState, ErrorState, StaleDataBanner, PermissionBoundary, ConfirmDialog, Toast</w:t>
      </w:r>
    </w:p>
    <w:p>
      <w:pPr>
        <w:pStyle w:val="Heading1"/>
      </w:pPr>
      <w:r>
        <w:t>20.4 Design Tokens &amp; Responsive Grid</w:t>
      </w:r>
    </w:p>
    <w:tbl>
      <w:tblPr>
        <w:tblStyle w:val="TableGrid"/>
        <w:tblW w:type="auto" w:w="0"/>
        <w:jc w:val="center"/>
        <w:tblLook w:firstColumn="1" w:firstRow="1" w:lastColumn="0" w:lastRow="0" w:noHBand="0" w:noVBand="1" w:val="04A0"/>
      </w:tblPr>
      <w:tblGrid>
        <w:gridCol w:w="5083"/>
        <w:gridCol w:w="5083"/>
      </w:tblGrid>
      <w:tr>
        <w:tc>
          <w:tcPr>
            <w:tcW w:type="dxa" w:w="5083"/>
            <w:shd w:fill="10233F"/>
          </w:tcPr>
          <w:p>
            <w:pPr>
              <w:spacing w:after="20"/>
            </w:pPr>
            <w:r/>
            <w:r>
              <w:rPr>
                <w:b/>
                <w:color w:val="FFFFFF"/>
                <w:sz w:val="15"/>
              </w:rPr>
              <w:t>Token area</w:t>
            </w:r>
          </w:p>
        </w:tc>
        <w:tc>
          <w:tcPr>
            <w:tcW w:type="dxa" w:w="5083"/>
            <w:shd w:fill="10233F"/>
          </w:tcPr>
          <w:p>
            <w:pPr>
              <w:spacing w:after="20"/>
            </w:pPr>
            <w:r/>
            <w:r>
              <w:rPr>
                <w:b/>
                <w:color w:val="FFFFFF"/>
                <w:sz w:val="15"/>
              </w:rPr>
              <w:t>Specification</w:t>
            </w:r>
          </w:p>
        </w:tc>
      </w:tr>
      <w:tr>
        <w:tc>
          <w:tcPr>
            <w:tcW w:type="dxa" w:w="5083"/>
          </w:tcPr>
          <w:p>
            <w:pPr>
              <w:spacing w:after="20"/>
            </w:pPr>
            <w:r/>
            <w:r>
              <w:rPr>
                <w:b w:val="0"/>
                <w:color w:val="172033"/>
                <w:sz w:val="15"/>
              </w:rPr>
              <w:t>Spacing</w:t>
            </w:r>
          </w:p>
        </w:tc>
        <w:tc>
          <w:tcPr>
            <w:tcW w:type="dxa" w:w="5083"/>
          </w:tcPr>
          <w:p>
            <w:pPr>
              <w:spacing w:after="20"/>
            </w:pPr>
            <w:r/>
            <w:r>
              <w:rPr>
                <w:b w:val="0"/>
                <w:color w:val="172033"/>
                <w:sz w:val="15"/>
              </w:rPr>
              <w:t>4px base; common steps 4/8/12/16/24/32/48/64.</w:t>
            </w:r>
          </w:p>
        </w:tc>
      </w:tr>
      <w:tr>
        <w:tc>
          <w:tcPr>
            <w:tcW w:type="dxa" w:w="5083"/>
            <w:shd w:fill="F7F9FC"/>
          </w:tcPr>
          <w:p>
            <w:pPr>
              <w:spacing w:after="20"/>
            </w:pPr>
            <w:r/>
            <w:r>
              <w:rPr>
                <w:b w:val="0"/>
                <w:color w:val="172033"/>
                <w:sz w:val="15"/>
              </w:rPr>
              <w:t>Radius</w:t>
            </w:r>
          </w:p>
        </w:tc>
        <w:tc>
          <w:tcPr>
            <w:tcW w:type="dxa" w:w="5083"/>
            <w:shd w:fill="F7F9FC"/>
          </w:tcPr>
          <w:p>
            <w:pPr>
              <w:spacing w:after="20"/>
            </w:pPr>
            <w:r/>
            <w:r>
              <w:rPr>
                <w:b w:val="0"/>
                <w:color w:val="172033"/>
                <w:sz w:val="15"/>
              </w:rPr>
              <w:t>8 small, 12 control, 16 card, 24 hero/modal.</w:t>
            </w:r>
          </w:p>
        </w:tc>
      </w:tr>
      <w:tr>
        <w:tc>
          <w:tcPr>
            <w:tcW w:type="dxa" w:w="5083"/>
          </w:tcPr>
          <w:p>
            <w:pPr>
              <w:spacing w:after="20"/>
            </w:pPr>
            <w:r/>
            <w:r>
              <w:rPr>
                <w:b w:val="0"/>
                <w:color w:val="172033"/>
                <w:sz w:val="15"/>
              </w:rPr>
              <w:t>Typography</w:t>
            </w:r>
          </w:p>
        </w:tc>
        <w:tc>
          <w:tcPr>
            <w:tcW w:type="dxa" w:w="5083"/>
          </w:tcPr>
          <w:p>
            <w:pPr>
              <w:spacing w:after="20"/>
            </w:pPr>
            <w:r/>
            <w:r>
              <w:rPr>
                <w:b w:val="0"/>
                <w:color w:val="172033"/>
                <w:sz w:val="15"/>
              </w:rPr>
              <w:t>Display 48–72 desktop / 36–48 mobile; H1 32–40; body 14–16; dense labels 12–13.</w:t>
            </w:r>
          </w:p>
        </w:tc>
      </w:tr>
      <w:tr>
        <w:tc>
          <w:tcPr>
            <w:tcW w:type="dxa" w:w="5083"/>
            <w:shd w:fill="F7F9FC"/>
          </w:tcPr>
          <w:p>
            <w:pPr>
              <w:spacing w:after="20"/>
            </w:pPr>
            <w:r/>
            <w:r>
              <w:rPr>
                <w:b w:val="0"/>
                <w:color w:val="172033"/>
                <w:sz w:val="15"/>
              </w:rPr>
              <w:t>Grid</w:t>
            </w:r>
          </w:p>
        </w:tc>
        <w:tc>
          <w:tcPr>
            <w:tcW w:type="dxa" w:w="5083"/>
            <w:shd w:fill="F7F9FC"/>
          </w:tcPr>
          <w:p>
            <w:pPr>
              <w:spacing w:after="20"/>
            </w:pPr>
            <w:r/>
            <w:r>
              <w:rPr>
                <w:b w:val="0"/>
                <w:color w:val="172033"/>
                <w:sz w:val="15"/>
              </w:rPr>
              <w:t>12-column desktop, 8 tablet, 4 mobile; max content width ~1600px for command center.</w:t>
            </w:r>
          </w:p>
        </w:tc>
      </w:tr>
      <w:tr>
        <w:tc>
          <w:tcPr>
            <w:tcW w:type="dxa" w:w="5083"/>
          </w:tcPr>
          <w:p>
            <w:pPr>
              <w:spacing w:after="20"/>
            </w:pPr>
            <w:r/>
            <w:r>
              <w:rPr>
                <w:b w:val="0"/>
                <w:color w:val="172033"/>
                <w:sz w:val="15"/>
              </w:rPr>
              <w:t>Touch target</w:t>
            </w:r>
          </w:p>
        </w:tc>
        <w:tc>
          <w:tcPr>
            <w:tcW w:type="dxa" w:w="5083"/>
          </w:tcPr>
          <w:p>
            <w:pPr>
              <w:spacing w:after="20"/>
            </w:pPr>
            <w:r/>
            <w:r>
              <w:rPr>
                <w:b w:val="0"/>
                <w:color w:val="172033"/>
                <w:sz w:val="15"/>
              </w:rPr>
              <w:t>Minimum 44×44px for touch controls.</w:t>
            </w:r>
          </w:p>
        </w:tc>
      </w:tr>
      <w:tr>
        <w:tc>
          <w:tcPr>
            <w:tcW w:type="dxa" w:w="5083"/>
            <w:shd w:fill="F7F9FC"/>
          </w:tcPr>
          <w:p>
            <w:pPr>
              <w:spacing w:after="20"/>
            </w:pPr>
            <w:r/>
            <w:r>
              <w:rPr>
                <w:b w:val="0"/>
                <w:color w:val="172033"/>
                <w:sz w:val="15"/>
              </w:rPr>
              <w:t>Motion</w:t>
            </w:r>
          </w:p>
        </w:tc>
        <w:tc>
          <w:tcPr>
            <w:tcW w:type="dxa" w:w="5083"/>
            <w:shd w:fill="F7F9FC"/>
          </w:tcPr>
          <w:p>
            <w:pPr>
              <w:spacing w:after="20"/>
            </w:pPr>
            <w:r/>
            <w:r>
              <w:rPr>
                <w:b w:val="0"/>
                <w:color w:val="172033"/>
                <w:sz w:val="15"/>
              </w:rPr>
              <w:t>Fast 150–200ms, standard 250–350ms, storytelling 500–900ms; reduced-motion alternative mandatory.</w:t>
            </w:r>
          </w:p>
        </w:tc>
      </w:tr>
      <w:tr>
        <w:tc>
          <w:tcPr>
            <w:tcW w:type="dxa" w:w="5083"/>
          </w:tcPr>
          <w:p>
            <w:pPr>
              <w:spacing w:after="20"/>
            </w:pPr>
            <w:r/>
            <w:r>
              <w:rPr>
                <w:b w:val="0"/>
                <w:color w:val="172033"/>
                <w:sz w:val="15"/>
              </w:rPr>
              <w:t>3D budget</w:t>
            </w:r>
          </w:p>
        </w:tc>
        <w:tc>
          <w:tcPr>
            <w:tcW w:type="dxa" w:w="5083"/>
          </w:tcPr>
          <w:p>
            <w:pPr>
              <w:spacing w:after="20"/>
            </w:pPr>
            <w:r/>
            <w:r>
              <w:rPr>
                <w:b w:val="0"/>
                <w:color w:val="172033"/>
                <w:sz w:val="15"/>
              </w:rPr>
              <w:t>Lazy-load; no critical content dependent on WebGL; target smooth interaction on ordinary competition laptop.</w:t>
            </w:r>
          </w:p>
        </w:tc>
      </w:tr>
    </w:tbl>
    <w:p>
      <w:pPr>
        <w:spacing w:after="20"/>
      </w:pPr>
    </w:p>
    <w:p>
      <w:pPr>
        <w:pStyle w:val="Title"/>
      </w:pPr>
      <w:r>
        <w:t>21. Detailed Functional Behavior Matrix</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10233F"/>
          </w:tcPr>
          <w:p>
            <w:pPr>
              <w:spacing w:after="20"/>
            </w:pPr>
            <w:r/>
            <w:r>
              <w:rPr>
                <w:b/>
                <w:color w:val="FFFFFF"/>
                <w:sz w:val="15"/>
              </w:rPr>
              <w:t>Capability</w:t>
            </w:r>
          </w:p>
        </w:tc>
        <w:tc>
          <w:tcPr>
            <w:tcW w:type="dxa" w:w="1694"/>
            <w:shd w:fill="10233F"/>
          </w:tcPr>
          <w:p>
            <w:pPr>
              <w:spacing w:after="20"/>
            </w:pPr>
            <w:r/>
            <w:r>
              <w:rPr>
                <w:b/>
                <w:color w:val="FFFFFF"/>
                <w:sz w:val="15"/>
              </w:rPr>
              <w:t>Roles</w:t>
            </w:r>
          </w:p>
        </w:tc>
        <w:tc>
          <w:tcPr>
            <w:tcW w:type="dxa" w:w="1694"/>
            <w:shd w:fill="10233F"/>
          </w:tcPr>
          <w:p>
            <w:pPr>
              <w:spacing w:after="20"/>
            </w:pPr>
            <w:r/>
            <w:r>
              <w:rPr>
                <w:b/>
                <w:color w:val="FFFFFF"/>
                <w:sz w:val="15"/>
              </w:rPr>
              <w:t>Inputs</w:t>
            </w:r>
          </w:p>
        </w:tc>
        <w:tc>
          <w:tcPr>
            <w:tcW w:type="dxa" w:w="1694"/>
            <w:shd w:fill="10233F"/>
          </w:tcPr>
          <w:p>
            <w:pPr>
              <w:spacing w:after="20"/>
            </w:pPr>
            <w:r/>
            <w:r>
              <w:rPr>
                <w:b/>
                <w:color w:val="FFFFFF"/>
                <w:sz w:val="15"/>
              </w:rPr>
              <w:t>Outputs</w:t>
            </w:r>
          </w:p>
        </w:tc>
        <w:tc>
          <w:tcPr>
            <w:tcW w:type="dxa" w:w="1694"/>
            <w:shd w:fill="10233F"/>
          </w:tcPr>
          <w:p>
            <w:pPr>
              <w:spacing w:after="20"/>
            </w:pPr>
            <w:r/>
            <w:r>
              <w:rPr>
                <w:b/>
                <w:color w:val="FFFFFF"/>
                <w:sz w:val="15"/>
              </w:rPr>
              <w:t>Primary CTA</w:t>
            </w:r>
          </w:p>
        </w:tc>
        <w:tc>
          <w:tcPr>
            <w:tcW w:type="dxa" w:w="1694"/>
            <w:shd w:fill="10233F"/>
          </w:tcPr>
          <w:p>
            <w:pPr>
              <w:spacing w:after="20"/>
            </w:pPr>
            <w:r/>
            <w:r>
              <w:rPr>
                <w:b/>
                <w:color w:val="FFFFFF"/>
                <w:sz w:val="15"/>
              </w:rPr>
              <w:t>Fallback</w:t>
            </w:r>
          </w:p>
        </w:tc>
      </w:tr>
      <w:tr>
        <w:tc>
          <w:tcPr>
            <w:tcW w:type="dxa" w:w="1694"/>
          </w:tcPr>
          <w:p>
            <w:pPr>
              <w:spacing w:after="20"/>
            </w:pPr>
            <w:r/>
            <w:r>
              <w:rPr>
                <w:b w:val="0"/>
                <w:color w:val="172033"/>
                <w:sz w:val="15"/>
              </w:rPr>
              <w:t>Demand Forecast</w:t>
            </w:r>
          </w:p>
        </w:tc>
        <w:tc>
          <w:tcPr>
            <w:tcW w:type="dxa" w:w="1694"/>
          </w:tcPr>
          <w:p>
            <w:pPr>
              <w:spacing w:after="20"/>
            </w:pPr>
            <w:r/>
            <w:r>
              <w:rPr>
                <w:b w:val="0"/>
                <w:color w:val="172033"/>
                <w:sz w:val="15"/>
              </w:rPr>
              <w:t>merchant, analyst, manager</w:t>
            </w:r>
          </w:p>
        </w:tc>
        <w:tc>
          <w:tcPr>
            <w:tcW w:type="dxa" w:w="1694"/>
          </w:tcPr>
          <w:p>
            <w:pPr>
              <w:spacing w:after="20"/>
            </w:pPr>
            <w:r/>
            <w:r>
              <w:rPr>
                <w:b w:val="0"/>
                <w:color w:val="172033"/>
                <w:sz w:val="15"/>
              </w:rPr>
              <w:t>entity + horizon + granularity + filters</w:t>
            </w:r>
          </w:p>
        </w:tc>
        <w:tc>
          <w:tcPr>
            <w:tcW w:type="dxa" w:w="1694"/>
          </w:tcPr>
          <w:p>
            <w:pPr>
              <w:spacing w:after="20"/>
            </w:pPr>
            <w:r/>
            <w:r>
              <w:rPr>
                <w:b w:val="0"/>
                <w:color w:val="172033"/>
                <w:sz w:val="15"/>
              </w:rPr>
              <w:t>forecast series + intervals + peaks + drivers</w:t>
            </w:r>
          </w:p>
        </w:tc>
        <w:tc>
          <w:tcPr>
            <w:tcW w:type="dxa" w:w="1694"/>
          </w:tcPr>
          <w:p>
            <w:pPr>
              <w:spacing w:after="20"/>
            </w:pPr>
            <w:r/>
            <w:r>
              <w:rPr>
                <w:b w:val="0"/>
                <w:color w:val="172033"/>
                <w:sz w:val="15"/>
              </w:rPr>
              <w:t>Create readiness/growth action</w:t>
            </w:r>
          </w:p>
        </w:tc>
        <w:tc>
          <w:tcPr>
            <w:tcW w:type="dxa" w:w="1694"/>
          </w:tcPr>
          <w:p>
            <w:pPr>
              <w:spacing w:after="20"/>
            </w:pPr>
            <w:r/>
            <w:r>
              <w:rPr>
                <w:b w:val="0"/>
                <w:color w:val="172033"/>
                <w:sz w:val="15"/>
              </w:rPr>
              <w:t>forecast unavailable → baseline + explanation</w:t>
            </w:r>
          </w:p>
        </w:tc>
      </w:tr>
      <w:tr>
        <w:tc>
          <w:tcPr>
            <w:tcW w:type="dxa" w:w="1694"/>
            <w:shd w:fill="F7F9FC"/>
          </w:tcPr>
          <w:p>
            <w:pPr>
              <w:spacing w:after="20"/>
            </w:pPr>
            <w:r/>
            <w:r>
              <w:rPr>
                <w:b w:val="0"/>
                <w:color w:val="172033"/>
                <w:sz w:val="15"/>
              </w:rPr>
              <w:t>Churn</w:t>
            </w:r>
          </w:p>
        </w:tc>
        <w:tc>
          <w:tcPr>
            <w:tcW w:type="dxa" w:w="1694"/>
            <w:shd w:fill="F7F9FC"/>
          </w:tcPr>
          <w:p>
            <w:pPr>
              <w:spacing w:after="20"/>
            </w:pPr>
            <w:r/>
            <w:r>
              <w:rPr>
                <w:b w:val="0"/>
                <w:color w:val="172033"/>
                <w:sz w:val="15"/>
              </w:rPr>
              <w:t>analyst, manager</w:t>
            </w:r>
          </w:p>
        </w:tc>
        <w:tc>
          <w:tcPr>
            <w:tcW w:type="dxa" w:w="1694"/>
            <w:shd w:fill="F7F9FC"/>
          </w:tcPr>
          <w:p>
            <w:pPr>
              <w:spacing w:after="20"/>
            </w:pPr>
            <w:r/>
            <w:r>
              <w:rPr>
                <w:b w:val="0"/>
                <w:color w:val="172033"/>
                <w:sz w:val="15"/>
              </w:rPr>
              <w:t>merchant + horizon</w:t>
            </w:r>
          </w:p>
        </w:tc>
        <w:tc>
          <w:tcPr>
            <w:tcW w:type="dxa" w:w="1694"/>
            <w:shd w:fill="F7F9FC"/>
          </w:tcPr>
          <w:p>
            <w:pPr>
              <w:spacing w:after="20"/>
            </w:pPr>
            <w:r/>
            <w:r>
              <w:rPr>
                <w:b w:val="0"/>
                <w:color w:val="172033"/>
                <w:sz w:val="15"/>
              </w:rPr>
              <w:t>probability + band + trend + drivers</w:t>
            </w:r>
          </w:p>
        </w:tc>
        <w:tc>
          <w:tcPr>
            <w:tcW w:type="dxa" w:w="1694"/>
            <w:shd w:fill="F7F9FC"/>
          </w:tcPr>
          <w:p>
            <w:pPr>
              <w:spacing w:after="20"/>
            </w:pPr>
            <w:r/>
            <w:r>
              <w:rPr>
                <w:b w:val="0"/>
                <w:color w:val="172033"/>
                <w:sz w:val="15"/>
              </w:rPr>
              <w:t>Create retention intervention</w:t>
            </w:r>
          </w:p>
        </w:tc>
        <w:tc>
          <w:tcPr>
            <w:tcW w:type="dxa" w:w="1694"/>
            <w:shd w:fill="F7F9FC"/>
          </w:tcPr>
          <w:p>
            <w:pPr>
              <w:spacing w:after="20"/>
            </w:pPr>
            <w:r/>
            <w:r>
              <w:rPr>
                <w:b w:val="0"/>
                <w:color w:val="172033"/>
                <w:sz w:val="15"/>
              </w:rPr>
              <w:t>low confidence → mark review</w:t>
            </w:r>
          </w:p>
        </w:tc>
      </w:tr>
      <w:tr>
        <w:tc>
          <w:tcPr>
            <w:tcW w:type="dxa" w:w="1694"/>
          </w:tcPr>
          <w:p>
            <w:pPr>
              <w:spacing w:after="20"/>
            </w:pPr>
            <w:r/>
            <w:r>
              <w:rPr>
                <w:b w:val="0"/>
                <w:color w:val="172033"/>
                <w:sz w:val="15"/>
              </w:rPr>
              <w:t>Benchmark</w:t>
            </w:r>
          </w:p>
        </w:tc>
        <w:tc>
          <w:tcPr>
            <w:tcW w:type="dxa" w:w="1694"/>
          </w:tcPr>
          <w:p>
            <w:pPr>
              <w:spacing w:after="20"/>
            </w:pPr>
            <w:r/>
            <w:r>
              <w:rPr>
                <w:b w:val="0"/>
                <w:color w:val="172033"/>
                <w:sz w:val="15"/>
              </w:rPr>
              <w:t>merchant*, analyst, manager</w:t>
            </w:r>
          </w:p>
        </w:tc>
        <w:tc>
          <w:tcPr>
            <w:tcW w:type="dxa" w:w="1694"/>
          </w:tcPr>
          <w:p>
            <w:pPr>
              <w:spacing w:after="20"/>
            </w:pPr>
            <w:r/>
            <w:r>
              <w:rPr>
                <w:b w:val="0"/>
                <w:color w:val="172033"/>
                <w:sz w:val="15"/>
              </w:rPr>
              <w:t>entity + cohort rules</w:t>
            </w:r>
          </w:p>
        </w:tc>
        <w:tc>
          <w:tcPr>
            <w:tcW w:type="dxa" w:w="1694"/>
          </w:tcPr>
          <w:p>
            <w:pPr>
              <w:spacing w:after="20"/>
            </w:pPr>
            <w:r/>
            <w:r>
              <w:rPr>
                <w:b w:val="0"/>
                <w:color w:val="172033"/>
                <w:sz w:val="15"/>
              </w:rPr>
              <w:t>percentile + normalized gaps</w:t>
            </w:r>
          </w:p>
        </w:tc>
        <w:tc>
          <w:tcPr>
            <w:tcW w:type="dxa" w:w="1694"/>
          </w:tcPr>
          <w:p>
            <w:pPr>
              <w:spacing w:after="20"/>
            </w:pPr>
            <w:r/>
            <w:r>
              <w:rPr>
                <w:b w:val="0"/>
                <w:color w:val="172033"/>
                <w:sz w:val="15"/>
              </w:rPr>
              <w:t>Open growth recommendation</w:t>
            </w:r>
          </w:p>
        </w:tc>
        <w:tc>
          <w:tcPr>
            <w:tcW w:type="dxa" w:w="1694"/>
          </w:tcPr>
          <w:p>
            <w:pPr>
              <w:spacing w:after="20"/>
            </w:pPr>
            <w:r/>
            <w:r>
              <w:rPr>
                <w:b w:val="0"/>
                <w:color w:val="172033"/>
                <w:sz w:val="15"/>
              </w:rPr>
              <w:t>small cohort → suppress sensitive comparison</w:t>
            </w:r>
          </w:p>
        </w:tc>
      </w:tr>
      <w:tr>
        <w:tc>
          <w:tcPr>
            <w:tcW w:type="dxa" w:w="1694"/>
            <w:shd w:fill="F7F9FC"/>
          </w:tcPr>
          <w:p>
            <w:pPr>
              <w:spacing w:after="20"/>
            </w:pPr>
            <w:r/>
            <w:r>
              <w:rPr>
                <w:b w:val="0"/>
                <w:color w:val="172033"/>
                <w:sz w:val="15"/>
              </w:rPr>
              <w:t>Liquidity</w:t>
            </w:r>
          </w:p>
        </w:tc>
        <w:tc>
          <w:tcPr>
            <w:tcW w:type="dxa" w:w="1694"/>
            <w:shd w:fill="F7F9FC"/>
          </w:tcPr>
          <w:p>
            <w:pPr>
              <w:spacing w:after="20"/>
            </w:pPr>
            <w:r/>
            <w:r>
              <w:rPr>
                <w:b w:val="0"/>
                <w:color w:val="172033"/>
                <w:sz w:val="15"/>
              </w:rPr>
              <w:t>agent*, analyst, manager</w:t>
            </w:r>
          </w:p>
        </w:tc>
        <w:tc>
          <w:tcPr>
            <w:tcW w:type="dxa" w:w="1694"/>
            <w:shd w:fill="F7F9FC"/>
          </w:tcPr>
          <w:p>
            <w:pPr>
              <w:spacing w:after="20"/>
            </w:pPr>
            <w:r/>
            <w:r>
              <w:rPr>
                <w:b w:val="0"/>
                <w:color w:val="172033"/>
                <w:sz w:val="15"/>
              </w:rPr>
              <w:t>agent + horizon + buffer</w:t>
            </w:r>
          </w:p>
        </w:tc>
        <w:tc>
          <w:tcPr>
            <w:tcW w:type="dxa" w:w="1694"/>
            <w:shd w:fill="F7F9FC"/>
          </w:tcPr>
          <w:p>
            <w:pPr>
              <w:spacing w:after="20"/>
            </w:pPr>
            <w:r/>
            <w:r>
              <w:rPr>
                <w:b w:val="0"/>
                <w:color w:val="172033"/>
                <w:sz w:val="15"/>
              </w:rPr>
              <w:t>cash-in/out/net need + pressure</w:t>
            </w:r>
          </w:p>
        </w:tc>
        <w:tc>
          <w:tcPr>
            <w:tcW w:type="dxa" w:w="1694"/>
            <w:shd w:fill="F7F9FC"/>
          </w:tcPr>
          <w:p>
            <w:pPr>
              <w:spacing w:after="20"/>
            </w:pPr>
            <w:r/>
            <w:r>
              <w:rPr>
                <w:b w:val="0"/>
                <w:color w:val="172033"/>
                <w:sz w:val="15"/>
              </w:rPr>
              <w:t>Prepare/assign action</w:t>
            </w:r>
          </w:p>
        </w:tc>
        <w:tc>
          <w:tcPr>
            <w:tcW w:type="dxa" w:w="1694"/>
            <w:shd w:fill="F7F9FC"/>
          </w:tcPr>
          <w:p>
            <w:pPr>
              <w:spacing w:after="20"/>
            </w:pPr>
            <w:r/>
            <w:r>
              <w:rPr>
                <w:b w:val="0"/>
                <w:color w:val="172033"/>
                <w:sz w:val="15"/>
              </w:rPr>
              <w:t>stale snapshot → warning + no false precision</w:t>
            </w:r>
          </w:p>
        </w:tc>
      </w:tr>
      <w:tr>
        <w:tc>
          <w:tcPr>
            <w:tcW w:type="dxa" w:w="1694"/>
          </w:tcPr>
          <w:p>
            <w:pPr>
              <w:spacing w:after="20"/>
            </w:pPr>
            <w:r/>
            <w:r>
              <w:rPr>
                <w:b w:val="0"/>
                <w:color w:val="172033"/>
                <w:sz w:val="15"/>
              </w:rPr>
              <w:t>Anomaly</w:t>
            </w:r>
          </w:p>
        </w:tc>
        <w:tc>
          <w:tcPr>
            <w:tcW w:type="dxa" w:w="1694"/>
          </w:tcPr>
          <w:p>
            <w:pPr>
              <w:spacing w:after="20"/>
            </w:pPr>
            <w:r/>
            <w:r>
              <w:rPr>
                <w:b w:val="0"/>
                <w:color w:val="172033"/>
                <w:sz w:val="15"/>
              </w:rPr>
              <w:t>analyst, manager</w:t>
            </w:r>
          </w:p>
        </w:tc>
        <w:tc>
          <w:tcPr>
            <w:tcW w:type="dxa" w:w="1694"/>
          </w:tcPr>
          <w:p>
            <w:pPr>
              <w:spacing w:after="20"/>
            </w:pPr>
            <w:r/>
            <w:r>
              <w:rPr>
                <w:b w:val="0"/>
                <w:color w:val="172033"/>
                <w:sz w:val="15"/>
              </w:rPr>
              <w:t>agent + time window</w:t>
            </w:r>
          </w:p>
        </w:tc>
        <w:tc>
          <w:tcPr>
            <w:tcW w:type="dxa" w:w="1694"/>
          </w:tcPr>
          <w:p>
            <w:pPr>
              <w:spacing w:after="20"/>
            </w:pPr>
            <w:r/>
            <w:r>
              <w:rPr>
                <w:b w:val="0"/>
                <w:color w:val="172033"/>
                <w:sz w:val="15"/>
              </w:rPr>
              <w:t>deviation + evidence + severity</w:t>
            </w:r>
          </w:p>
        </w:tc>
        <w:tc>
          <w:tcPr>
            <w:tcW w:type="dxa" w:w="1694"/>
          </w:tcPr>
          <w:p>
            <w:pPr>
              <w:spacing w:after="20"/>
            </w:pPr>
            <w:r/>
            <w:r>
              <w:rPr>
                <w:b w:val="0"/>
                <w:color w:val="172033"/>
                <w:sz w:val="15"/>
              </w:rPr>
              <w:t>Disposition/escalate</w:t>
            </w:r>
          </w:p>
        </w:tc>
        <w:tc>
          <w:tcPr>
            <w:tcW w:type="dxa" w:w="1694"/>
          </w:tcPr>
          <w:p>
            <w:pPr>
              <w:spacing w:after="20"/>
            </w:pPr>
            <w:r/>
            <w:r>
              <w:rPr>
                <w:b w:val="0"/>
                <w:color w:val="172033"/>
                <w:sz w:val="15"/>
              </w:rPr>
              <w:t>insufficient baseline → abstain</w:t>
            </w:r>
          </w:p>
        </w:tc>
      </w:tr>
      <w:tr>
        <w:tc>
          <w:tcPr>
            <w:tcW w:type="dxa" w:w="1694"/>
            <w:shd w:fill="F7F9FC"/>
          </w:tcPr>
          <w:p>
            <w:pPr>
              <w:spacing w:after="20"/>
            </w:pPr>
            <w:r/>
            <w:r>
              <w:rPr>
                <w:b w:val="0"/>
                <w:color w:val="172033"/>
                <w:sz w:val="15"/>
              </w:rPr>
              <w:t>Location</w:t>
            </w:r>
          </w:p>
        </w:tc>
        <w:tc>
          <w:tcPr>
            <w:tcW w:type="dxa" w:w="1694"/>
            <w:shd w:fill="F7F9FC"/>
          </w:tcPr>
          <w:p>
            <w:pPr>
              <w:spacing w:after="20"/>
            </w:pPr>
            <w:r/>
            <w:r>
              <w:rPr>
                <w:b w:val="0"/>
                <w:color w:val="172033"/>
                <w:sz w:val="15"/>
              </w:rPr>
              <w:t>analyst, manager</w:t>
            </w:r>
          </w:p>
        </w:tc>
        <w:tc>
          <w:tcPr>
            <w:tcW w:type="dxa" w:w="1694"/>
            <w:shd w:fill="F7F9FC"/>
          </w:tcPr>
          <w:p>
            <w:pPr>
              <w:spacing w:after="20"/>
            </w:pPr>
            <w:r/>
            <w:r>
              <w:rPr>
                <w:b w:val="0"/>
                <w:color w:val="172033"/>
                <w:sz w:val="15"/>
              </w:rPr>
              <w:t>region + layer weights</w:t>
            </w:r>
          </w:p>
        </w:tc>
        <w:tc>
          <w:tcPr>
            <w:tcW w:type="dxa" w:w="1694"/>
            <w:shd w:fill="F7F9FC"/>
          </w:tcPr>
          <w:p>
            <w:pPr>
              <w:spacing w:after="20"/>
            </w:pPr>
            <w:r/>
            <w:r>
              <w:rPr>
                <w:b w:val="0"/>
                <w:color w:val="172033"/>
                <w:sz w:val="15"/>
              </w:rPr>
              <w:t>ranked cells + factors</w:t>
            </w:r>
          </w:p>
        </w:tc>
        <w:tc>
          <w:tcPr>
            <w:tcW w:type="dxa" w:w="1694"/>
            <w:shd w:fill="F7F9FC"/>
          </w:tcPr>
          <w:p>
            <w:pPr>
              <w:spacing w:after="20"/>
            </w:pPr>
            <w:r/>
            <w:r>
              <w:rPr>
                <w:b w:val="0"/>
                <w:color w:val="172033"/>
                <w:sz w:val="15"/>
              </w:rPr>
              <w:t>Create expansion study</w:t>
            </w:r>
          </w:p>
        </w:tc>
        <w:tc>
          <w:tcPr>
            <w:tcW w:type="dxa" w:w="1694"/>
            <w:shd w:fill="F7F9FC"/>
          </w:tcPr>
          <w:p>
            <w:pPr>
              <w:spacing w:after="20"/>
            </w:pPr>
            <w:r/>
            <w:r>
              <w:rPr>
                <w:b w:val="0"/>
                <w:color w:val="172033"/>
                <w:sz w:val="15"/>
              </w:rPr>
              <w:t>missing geo feature → lower confidence</w:t>
            </w:r>
          </w:p>
        </w:tc>
      </w:tr>
      <w:tr>
        <w:tc>
          <w:tcPr>
            <w:tcW w:type="dxa" w:w="1694"/>
          </w:tcPr>
          <w:p>
            <w:pPr>
              <w:spacing w:after="20"/>
            </w:pPr>
            <w:r/>
            <w:r>
              <w:rPr>
                <w:b w:val="0"/>
                <w:color w:val="172033"/>
                <w:sz w:val="15"/>
              </w:rPr>
              <w:t>Recommendation</w:t>
            </w:r>
          </w:p>
        </w:tc>
        <w:tc>
          <w:tcPr>
            <w:tcW w:type="dxa" w:w="1694"/>
          </w:tcPr>
          <w:p>
            <w:pPr>
              <w:spacing w:after="20"/>
            </w:pPr>
            <w:r/>
            <w:r>
              <w:rPr>
                <w:b w:val="0"/>
                <w:color w:val="172033"/>
                <w:sz w:val="15"/>
              </w:rPr>
              <w:t>authorized persona</w:t>
            </w:r>
          </w:p>
        </w:tc>
        <w:tc>
          <w:tcPr>
            <w:tcW w:type="dxa" w:w="1694"/>
          </w:tcPr>
          <w:p>
            <w:pPr>
              <w:spacing w:after="20"/>
            </w:pPr>
            <w:r/>
            <w:r>
              <w:rPr>
                <w:b w:val="0"/>
                <w:color w:val="172033"/>
                <w:sz w:val="15"/>
              </w:rPr>
              <w:t>prediction + context</w:t>
            </w:r>
          </w:p>
        </w:tc>
        <w:tc>
          <w:tcPr>
            <w:tcW w:type="dxa" w:w="1694"/>
          </w:tcPr>
          <w:p>
            <w:pPr>
              <w:spacing w:after="20"/>
            </w:pPr>
            <w:r/>
            <w:r>
              <w:rPr>
                <w:b w:val="0"/>
                <w:color w:val="172033"/>
                <w:sz w:val="15"/>
              </w:rPr>
              <w:t>ranked safe actions</w:t>
            </w:r>
          </w:p>
        </w:tc>
        <w:tc>
          <w:tcPr>
            <w:tcW w:type="dxa" w:w="1694"/>
          </w:tcPr>
          <w:p>
            <w:pPr>
              <w:spacing w:after="20"/>
            </w:pPr>
            <w:r/>
            <w:r>
              <w:rPr>
                <w:b w:val="0"/>
                <w:color w:val="172033"/>
                <w:sz w:val="15"/>
              </w:rPr>
              <w:t>accept/reject/assign</w:t>
            </w:r>
          </w:p>
        </w:tc>
        <w:tc>
          <w:tcPr>
            <w:tcW w:type="dxa" w:w="1694"/>
          </w:tcPr>
          <w:p>
            <w:pPr>
              <w:spacing w:after="20"/>
            </w:pPr>
            <w:r/>
            <w:r>
              <w:rPr>
                <w:b w:val="0"/>
                <w:color w:val="172033"/>
                <w:sz w:val="15"/>
              </w:rPr>
              <w:t>LLM failure → structured action remains</w:t>
            </w:r>
          </w:p>
        </w:tc>
      </w:tr>
    </w:tbl>
    <w:p>
      <w:pPr>
        <w:spacing w:after="20"/>
      </w:pPr>
    </w:p>
    <w:p>
      <w:pPr>
        <w:pStyle w:val="Title"/>
      </w:pPr>
      <w:r>
        <w:t>22. CommandCode / Coding-Agent Implementation Contract</w:t>
      </w:r>
    </w:p>
    <w:tbl>
      <w:tblPr>
        <w:tblStyle w:val="TableGrid"/>
        <w:tblW w:type="auto" w:w="0"/>
        <w:tblLook w:firstColumn="1" w:firstRow="1" w:lastColumn="0" w:lastRow="0" w:noHBand="0" w:noVBand="1" w:val="04A0"/>
      </w:tblPr>
      <w:tblGrid>
        <w:gridCol w:w="10166"/>
      </w:tblGrid>
      <w:tr>
        <w:tc>
          <w:tcPr>
            <w:tcW w:type="dxa" w:w="10166"/>
            <w:shd w:fill="FFF3E8"/>
          </w:tcPr>
          <w:p>
            <w:r/>
            <w:r>
              <w:rPr>
                <w:b/>
                <w:color w:val="1F5EFF"/>
              </w:rPr>
              <w:t xml:space="preserve">HOW TO USE THIS SRS  </w:t>
            </w:r>
            <w:r>
              <w:t>Provide the complete document to the coding agent and instruct it to treat the SRS as the source of truth. It should implement in vertical slices, never replace specified AI workflows with static mock charts, and never invent production integrations or real customer data.</w:t>
            </w:r>
          </w:p>
        </w:tc>
      </w:tr>
    </w:tbl>
    <w:p>
      <w:pPr>
        <w:spacing w:after="20"/>
      </w:pPr>
    </w:p>
    <w:p>
      <w:pPr>
        <w:pStyle w:val="Heading1"/>
      </w:pPr>
      <w:r>
        <w:t>22.1 Required Repository Structure</w:t>
      </w:r>
    </w:p>
    <w:p>
      <w:pPr>
        <w:pStyle w:val="CodeLike"/>
      </w:pPr>
      <w:r>
        <w:t>/</w:t>
        <w:br/>
        <w:t xml:space="preserve">  frontend/                 # Next.js + TypeScript</w:t>
        <w:br/>
        <w:t xml:space="preserve">    app/</w:t>
        <w:br/>
        <w:t xml:space="preserve">    components/</w:t>
        <w:br/>
        <w:t xml:space="preserve">    features/</w:t>
        <w:br/>
        <w:t xml:space="preserve">    lib/</w:t>
        <w:br/>
        <w:t xml:space="preserve">    hooks/</w:t>
        <w:br/>
        <w:t xml:space="preserve">    types/</w:t>
        <w:br/>
        <w:t xml:space="preserve">  backend/                  # FastAPI</w:t>
        <w:br/>
        <w:t xml:space="preserve">    app/</w:t>
        <w:br/>
        <w:t xml:space="preserve">      api/v1/</w:t>
        <w:br/>
        <w:t xml:space="preserve">      core/</w:t>
        <w:br/>
        <w:t xml:space="preserve">      domains/</w:t>
        <w:br/>
        <w:t xml:space="preserve">        merchants/</w:t>
        <w:br/>
        <w:t xml:space="preserve">        agents/</w:t>
        <w:br/>
        <w:t xml:space="preserve">        locations/</w:t>
        <w:br/>
        <w:t xml:space="preserve">        interventions/</w:t>
        <w:br/>
        <w:t xml:space="preserve">        models/</w:t>
        <w:br/>
        <w:t xml:space="preserve">      ml/</w:t>
        <w:br/>
        <w:t xml:space="preserve">      security/</w:t>
        <w:br/>
        <w:t xml:space="preserve">      db/</w:t>
        <w:br/>
        <w:t xml:space="preserve">      schemas/</w:t>
        <w:br/>
        <w:t xml:space="preserve">  data/</w:t>
        <w:br/>
        <w:t xml:space="preserve">    synthetic/</w:t>
        <w:br/>
        <w:t xml:space="preserve">    generators/</w:t>
        <w:br/>
        <w:t xml:space="preserve">    dictionaries/</w:t>
        <w:br/>
        <w:t xml:space="preserve">  ml/</w:t>
        <w:br/>
        <w:t xml:space="preserve">    training/</w:t>
        <w:br/>
        <w:t xml:space="preserve">    evaluation/</w:t>
        <w:br/>
        <w:t xml:space="preserve">    artifacts/</w:t>
        <w:br/>
        <w:t xml:space="preserve">    model_cards/</w:t>
        <w:br/>
        <w:t xml:space="preserve">  tests/</w:t>
        <w:br/>
        <w:t xml:space="preserve">    unit/</w:t>
        <w:br/>
        <w:t xml:space="preserve">    integration/</w:t>
        <w:br/>
        <w:t xml:space="preserve">    e2e/</w:t>
        <w:br/>
        <w:t xml:space="preserve">    security/</w:t>
        <w:br/>
        <w:t xml:space="preserve">    ai_security/</w:t>
        <w:br/>
        <w:t xml:space="preserve">  infra/</w:t>
        <w:br/>
        <w:t xml:space="preserve">    docker/</w:t>
        <w:br/>
        <w:t xml:space="preserve">    migrations/</w:t>
        <w:br/>
        <w:t xml:space="preserve">  docs/</w:t>
        <w:br/>
        <w:t xml:space="preserve">    architecture/</w:t>
        <w:br/>
        <w:t xml:space="preserve">    api/</w:t>
        <w:br/>
        <w:t xml:space="preserve">    threat-model/</w:t>
        <w:br/>
      </w:r>
    </w:p>
    <w:p>
      <w:pPr>
        <w:pStyle w:val="Heading1"/>
      </w:pPr>
      <w:r>
        <w:t>22.2 Build Order</w:t>
      </w:r>
    </w:p>
    <w:p>
      <w:pPr>
        <w:pStyle w:val="ListNumber"/>
        <w:spacing w:after="40"/>
      </w:pPr>
      <w:r>
        <w:t>Foundation: repository, Docker, environment config, PostgreSQL/PostGIS, migrations, seed data, lint/test pipeline.</w:t>
      </w:r>
    </w:p>
    <w:p>
      <w:pPr>
        <w:pStyle w:val="ListNumber"/>
        <w:spacing w:after="40"/>
      </w:pPr>
      <w:r>
        <w:t>Identity: authentication, secure session/token, RBAC/region/entity scope, demo personas.</w:t>
      </w:r>
    </w:p>
    <w:p>
      <w:pPr>
        <w:pStyle w:val="ListNumber"/>
        <w:spacing w:after="40"/>
      </w:pPr>
      <w:r>
        <w:t>Design system: AppShell, tokens, responsive grid, state components and accessibility baseline.</w:t>
      </w:r>
    </w:p>
    <w:p>
      <w:pPr>
        <w:pStyle w:val="ListNumber"/>
        <w:spacing w:after="40"/>
      </w:pPr>
      <w:r>
        <w:t>Merchant vertical slice: synthetic data → features → forecast/churn → API → Merchant 360 → intervention.</w:t>
      </w:r>
    </w:p>
    <w:p>
      <w:pPr>
        <w:pStyle w:val="ListNumber"/>
        <w:spacing w:after="40"/>
      </w:pPr>
      <w:r>
        <w:t>Agent vertical slice: liquidity forecast → pressure alert → Agent 360 → intervention.</w:t>
      </w:r>
    </w:p>
    <w:p>
      <w:pPr>
        <w:pStyle w:val="ListNumber"/>
        <w:spacing w:after="40"/>
      </w:pPr>
      <w:r>
        <w:t>Command Center: aggregate KPIs, priority queue, map and AI insight feed.</w:t>
      </w:r>
    </w:p>
    <w:p>
      <w:pPr>
        <w:pStyle w:val="ListNumber"/>
        <w:spacing w:after="40"/>
      </w:pPr>
      <w:r>
        <w:t>Benchmark/recommendation + explanation guardrail.</w:t>
      </w:r>
    </w:p>
    <w:p>
      <w:pPr>
        <w:pStyle w:val="ListNumber"/>
        <w:spacing w:after="40"/>
      </w:pPr>
      <w:r>
        <w:t>Location intelligence + 2.5D map and scenario simulation.</w:t>
      </w:r>
    </w:p>
    <w:p>
      <w:pPr>
        <w:pStyle w:val="ListNumber"/>
        <w:spacing w:after="40"/>
      </w:pPr>
      <w:r>
        <w:t>Model governance, audit, observability, fairness/drift panels.</w:t>
      </w:r>
    </w:p>
    <w:p>
      <w:pPr>
        <w:pStyle w:val="ListNumber"/>
        <w:spacing w:after="40"/>
      </w:pPr>
      <w:r>
        <w:t>Security/AI-security tests, performance, reduced motion, mobile hardening and deterministic demo scenarios.</w:t>
      </w:r>
    </w:p>
    <w:p>
      <w:pPr>
        <w:pStyle w:val="Heading1"/>
      </w:pPr>
      <w:r>
        <w:t>22.3 Coding-Agent Non-Negotiables</w:t>
      </w:r>
    </w:p>
    <w:p>
      <w:pPr>
        <w:pStyle w:val="ListBullet"/>
        <w:spacing w:after="40"/>
      </w:pPr>
      <w:r>
        <w:t>Do not hard-code charts with arbitrary numbers. All displayed intelligence must come from seeded synthetic datasets or clearly marked deterministic demo fixtures.</w:t>
      </w:r>
    </w:p>
    <w:p>
      <w:pPr>
        <w:pStyle w:val="ListBullet"/>
        <w:spacing w:after="40"/>
      </w:pPr>
      <w:r>
        <w:t>Do not expose secrets, model paths, stack traces or authorization details to the browser.</w:t>
      </w:r>
    </w:p>
    <w:p>
      <w:pPr>
        <w:pStyle w:val="ListBullet"/>
        <w:spacing w:after="40"/>
      </w:pPr>
      <w:r>
        <w:t>Do not use an LLM to calculate numeric forecasts, risk probabilities, permissions or liquidity amounts.</w:t>
      </w:r>
    </w:p>
    <w:p>
      <w:pPr>
        <w:pStyle w:val="ListBullet"/>
        <w:spacing w:after="40"/>
      </w:pPr>
      <w:r>
        <w:t>Do not let the frontend determine authorization. Every protected object request is verified server-side.</w:t>
      </w:r>
    </w:p>
    <w:p>
      <w:pPr>
        <w:pStyle w:val="ListBullet"/>
        <w:spacing w:after="40"/>
      </w:pPr>
      <w:r>
        <w:t>Do not add heavy 3D to every page. Use it only where specified and always include accessible/performance fallback.</w:t>
      </w:r>
    </w:p>
    <w:p>
      <w:pPr>
        <w:pStyle w:val="ListBullet"/>
        <w:spacing w:after="40"/>
      </w:pPr>
      <w:r>
        <w:t>Do not use placeholder lorem ipsum or generic fintech copy in final competition screens.</w:t>
      </w:r>
    </w:p>
    <w:p>
      <w:pPr>
        <w:pStyle w:val="ListBullet"/>
        <w:spacing w:after="40"/>
      </w:pPr>
      <w:r>
        <w:t>Every AI card must show: result, confidence/uncertainty, why, recommended action, timestamp and model/source context.</w:t>
      </w:r>
    </w:p>
    <w:p>
      <w:pPr>
        <w:pStyle w:val="ListBullet"/>
        <w:spacing w:after="40"/>
      </w:pPr>
      <w:r>
        <w:t>Every consequential action must remain human-controlled and auditable.</w:t>
      </w:r>
    </w:p>
    <w:p>
      <w:pPr>
        <w:pStyle w:val="ListBullet"/>
        <w:spacing w:after="40"/>
      </w:pPr>
      <w:r>
        <w:t>All pages must implement loading, empty, error, stale and unauthorized states.</w:t>
      </w:r>
    </w:p>
    <w:p>
      <w:pPr>
        <w:pStyle w:val="ListBullet"/>
        <w:spacing w:after="40"/>
      </w:pPr>
      <w:r>
        <w:t>Keep TypeScript/Pydantic schemas aligned; API changes must update tests and OpenAPI.</w:t>
      </w:r>
    </w:p>
    <w:p>
      <w:pPr>
        <w:pStyle w:val="Title"/>
      </w:pPr>
      <w:r>
        <w:t>23. Competition Demo Features That Make the Product Memorable</w:t>
      </w:r>
    </w:p>
    <w:tbl>
      <w:tblPr>
        <w:tblStyle w:val="TableGrid"/>
        <w:tblW w:type="auto" w:w="0"/>
        <w:jc w:val="center"/>
        <w:tblLook w:firstColumn="1" w:firstRow="1" w:lastColumn="0" w:lastRow="0" w:noHBand="0" w:noVBand="1" w:val="04A0"/>
      </w:tblPr>
      <w:tblGrid>
        <w:gridCol w:w="5083"/>
        <w:gridCol w:w="5083"/>
      </w:tblGrid>
      <w:tr>
        <w:tc>
          <w:tcPr>
            <w:tcW w:type="dxa" w:w="5083"/>
            <w:shd w:fill="10233F"/>
          </w:tcPr>
          <w:p>
            <w:pPr>
              <w:spacing w:after="20"/>
            </w:pPr>
            <w:r/>
            <w:r>
              <w:rPr>
                <w:b/>
                <w:color w:val="FFFFFF"/>
                <w:sz w:val="15"/>
              </w:rPr>
              <w:t>Differentiator</w:t>
            </w:r>
          </w:p>
        </w:tc>
        <w:tc>
          <w:tcPr>
            <w:tcW w:type="dxa" w:w="5083"/>
            <w:shd w:fill="10233F"/>
          </w:tcPr>
          <w:p>
            <w:pPr>
              <w:spacing w:after="20"/>
            </w:pPr>
            <w:r/>
            <w:r>
              <w:rPr>
                <w:b/>
                <w:color w:val="FFFFFF"/>
                <w:sz w:val="15"/>
              </w:rPr>
              <w:t>Implementation</w:t>
            </w:r>
          </w:p>
        </w:tc>
      </w:tr>
      <w:tr>
        <w:tc>
          <w:tcPr>
            <w:tcW w:type="dxa" w:w="5083"/>
          </w:tcPr>
          <w:p>
            <w:pPr>
              <w:spacing w:after="20"/>
            </w:pPr>
            <w:r/>
            <w:r>
              <w:rPr>
                <w:b w:val="0"/>
                <w:color w:val="172033"/>
                <w:sz w:val="15"/>
              </w:rPr>
              <w:t>Ecosystem Digital Twin</w:t>
            </w:r>
          </w:p>
        </w:tc>
        <w:tc>
          <w:tcPr>
            <w:tcW w:type="dxa" w:w="5083"/>
          </w:tcPr>
          <w:p>
            <w:pPr>
              <w:spacing w:after="20"/>
            </w:pPr>
            <w:r/>
            <w:r>
              <w:rPr>
                <w:b w:val="0"/>
                <w:color w:val="172033"/>
                <w:sz w:val="15"/>
              </w:rPr>
              <w:t>Animated network view where merchants/agents behave as nodes; map/card interactions remain grounded in synthetic data.</w:t>
            </w:r>
          </w:p>
        </w:tc>
      </w:tr>
      <w:tr>
        <w:tc>
          <w:tcPr>
            <w:tcW w:type="dxa" w:w="5083"/>
            <w:shd w:fill="F7F9FC"/>
          </w:tcPr>
          <w:p>
            <w:pPr>
              <w:spacing w:after="20"/>
            </w:pPr>
            <w:r/>
            <w:r>
              <w:rPr>
                <w:b w:val="0"/>
                <w:color w:val="172033"/>
                <w:sz w:val="15"/>
              </w:rPr>
              <w:t>AI Action Center</w:t>
            </w:r>
          </w:p>
        </w:tc>
        <w:tc>
          <w:tcPr>
            <w:tcW w:type="dxa" w:w="5083"/>
            <w:shd w:fill="F7F9FC"/>
          </w:tcPr>
          <w:p>
            <w:pPr>
              <w:spacing w:after="20"/>
            </w:pPr>
            <w:r/>
            <w:r>
              <w:rPr>
                <w:b w:val="0"/>
                <w:color w:val="172033"/>
                <w:sz w:val="15"/>
              </w:rPr>
              <w:t>One place where forecasts, churn, liquidity, anomalies and location signals become prioritized human actions.</w:t>
            </w:r>
          </w:p>
        </w:tc>
      </w:tr>
      <w:tr>
        <w:tc>
          <w:tcPr>
            <w:tcW w:type="dxa" w:w="5083"/>
          </w:tcPr>
          <w:p>
            <w:pPr>
              <w:spacing w:after="20"/>
            </w:pPr>
            <w:r/>
            <w:r>
              <w:rPr>
                <w:b w:val="0"/>
                <w:color w:val="172033"/>
                <w:sz w:val="15"/>
              </w:rPr>
              <w:t>Why This Matters panel</w:t>
            </w:r>
          </w:p>
        </w:tc>
        <w:tc>
          <w:tcPr>
            <w:tcW w:type="dxa" w:w="5083"/>
          </w:tcPr>
          <w:p>
            <w:pPr>
              <w:spacing w:after="20"/>
            </w:pPr>
            <w:r/>
            <w:r>
              <w:rPr>
                <w:b w:val="0"/>
                <w:color w:val="172033"/>
                <w:sz w:val="15"/>
              </w:rPr>
              <w:t>Each insight explains operational consequence in plain language, not only model features.</w:t>
            </w:r>
          </w:p>
        </w:tc>
      </w:tr>
      <w:tr>
        <w:tc>
          <w:tcPr>
            <w:tcW w:type="dxa" w:w="5083"/>
            <w:shd w:fill="F7F9FC"/>
          </w:tcPr>
          <w:p>
            <w:pPr>
              <w:spacing w:after="20"/>
            </w:pPr>
            <w:r/>
            <w:r>
              <w:rPr>
                <w:b w:val="0"/>
                <w:color w:val="172033"/>
                <w:sz w:val="15"/>
              </w:rPr>
              <w:t>What-if Simulator</w:t>
            </w:r>
          </w:p>
        </w:tc>
        <w:tc>
          <w:tcPr>
            <w:tcW w:type="dxa" w:w="5083"/>
            <w:shd w:fill="F7F9FC"/>
          </w:tcPr>
          <w:p>
            <w:pPr>
              <w:spacing w:after="20"/>
            </w:pPr>
            <w:r/>
            <w:r>
              <w:rPr>
                <w:b w:val="0"/>
                <w:color w:val="172033"/>
                <w:sz w:val="15"/>
              </w:rPr>
              <w:t>Judges can alter demand/buffer/new-node assumptions and immediately see projected impact.</w:t>
            </w:r>
          </w:p>
        </w:tc>
      </w:tr>
      <w:tr>
        <w:tc>
          <w:tcPr>
            <w:tcW w:type="dxa" w:w="5083"/>
          </w:tcPr>
          <w:p>
            <w:pPr>
              <w:spacing w:after="20"/>
            </w:pPr>
            <w:r/>
            <w:r>
              <w:rPr>
                <w:b w:val="0"/>
                <w:color w:val="172033"/>
                <w:sz w:val="15"/>
              </w:rPr>
              <w:t>Explainability Layer</w:t>
            </w:r>
          </w:p>
        </w:tc>
        <w:tc>
          <w:tcPr>
            <w:tcW w:type="dxa" w:w="5083"/>
          </w:tcPr>
          <w:p>
            <w:pPr>
              <w:spacing w:after="20"/>
            </w:pPr>
            <w:r/>
            <w:r>
              <w:rPr>
                <w:b w:val="0"/>
                <w:color w:val="172033"/>
                <w:sz w:val="15"/>
              </w:rPr>
              <w:t>Reason-code chips + contribution visualization + grounded narrative.</w:t>
            </w:r>
          </w:p>
        </w:tc>
      </w:tr>
      <w:tr>
        <w:tc>
          <w:tcPr>
            <w:tcW w:type="dxa" w:w="5083"/>
            <w:shd w:fill="F7F9FC"/>
          </w:tcPr>
          <w:p>
            <w:pPr>
              <w:spacing w:after="20"/>
            </w:pPr>
            <w:r/>
            <w:r>
              <w:rPr>
                <w:b w:val="0"/>
                <w:color w:val="172033"/>
                <w:sz w:val="15"/>
              </w:rPr>
              <w:t>Scenario Story Mode</w:t>
            </w:r>
          </w:p>
        </w:tc>
        <w:tc>
          <w:tcPr>
            <w:tcW w:type="dxa" w:w="5083"/>
            <w:shd w:fill="F7F9FC"/>
          </w:tcPr>
          <w:p>
            <w:pPr>
              <w:spacing w:after="20"/>
            </w:pPr>
            <w:r/>
            <w:r>
              <w:rPr>
                <w:b w:val="0"/>
                <w:color w:val="172033"/>
                <w:sz w:val="15"/>
              </w:rPr>
              <w:t>One-click festival surge / churn cluster / liquidity crisis demo that moves across relevant pages.</w:t>
            </w:r>
          </w:p>
        </w:tc>
      </w:tr>
      <w:tr>
        <w:tc>
          <w:tcPr>
            <w:tcW w:type="dxa" w:w="5083"/>
          </w:tcPr>
          <w:p>
            <w:pPr>
              <w:spacing w:after="20"/>
            </w:pPr>
            <w:r/>
            <w:r>
              <w:rPr>
                <w:b w:val="0"/>
                <w:color w:val="172033"/>
                <w:sz w:val="15"/>
              </w:rPr>
              <w:t>Closed-loop Evidence</w:t>
            </w:r>
          </w:p>
        </w:tc>
        <w:tc>
          <w:tcPr>
            <w:tcW w:type="dxa" w:w="5083"/>
          </w:tcPr>
          <w:p>
            <w:pPr>
              <w:spacing w:after="20"/>
            </w:pPr>
            <w:r/>
            <w:r>
              <w:rPr>
                <w:b w:val="0"/>
                <w:color w:val="172033"/>
                <w:sz w:val="15"/>
              </w:rPr>
              <w:t>Show an intervention and its later synthetic outcome to demonstrate measurable impact rather than prediction-only AI.</w:t>
            </w:r>
          </w:p>
        </w:tc>
      </w:tr>
      <w:tr>
        <w:tc>
          <w:tcPr>
            <w:tcW w:type="dxa" w:w="5083"/>
            <w:shd w:fill="F7F9FC"/>
          </w:tcPr>
          <w:p>
            <w:pPr>
              <w:spacing w:after="20"/>
            </w:pPr>
            <w:r/>
            <w:r>
              <w:rPr>
                <w:b w:val="0"/>
                <w:color w:val="172033"/>
                <w:sz w:val="15"/>
              </w:rPr>
              <w:t>Responsible AI Console</w:t>
            </w:r>
          </w:p>
        </w:tc>
        <w:tc>
          <w:tcPr>
            <w:tcW w:type="dxa" w:w="5083"/>
            <w:shd w:fill="F7F9FC"/>
          </w:tcPr>
          <w:p>
            <w:pPr>
              <w:spacing w:after="20"/>
            </w:pPr>
            <w:r/>
            <w:r>
              <w:rPr>
                <w:b w:val="0"/>
                <w:color w:val="172033"/>
                <w:sz w:val="15"/>
              </w:rPr>
              <w:t>Visible model limitations, synthetic-data status, fairness/drift/security evidence—turn governance into a product strength.</w:t>
            </w:r>
          </w:p>
        </w:tc>
      </w:tr>
    </w:tbl>
    <w:p>
      <w:pPr>
        <w:spacing w:after="20"/>
      </w:pPr>
    </w:p>
    <w:p>
      <w:pPr>
        <w:pStyle w:val="Title"/>
      </w:pPr>
      <w:r>
        <w:t>24. Extended Acceptance Checklist for Full-System Generation</w:t>
      </w:r>
    </w:p>
    <w:p>
      <w:pPr>
        <w:pStyle w:val="ListBullet"/>
        <w:spacing w:after="40"/>
      </w:pPr>
      <w:r>
        <w:t>☐ All routes in Section 19 exist and use a shared responsive application shell.</w:t>
      </w:r>
    </w:p>
    <w:p>
      <w:pPr>
        <w:pStyle w:val="ListBullet"/>
        <w:spacing w:after="40"/>
      </w:pPr>
      <w:r>
        <w:t>☐ All Must features in Section 18 are reachable through navigation or contextual deep-links.</w:t>
      </w:r>
    </w:p>
    <w:p>
      <w:pPr>
        <w:pStyle w:val="ListBullet"/>
        <w:spacing w:after="40"/>
      </w:pPr>
      <w:r>
        <w:t>☐ Merchant and Agent 360 screens contain real seeded data and working filters.</w:t>
      </w:r>
    </w:p>
    <w:p>
      <w:pPr>
        <w:pStyle w:val="ListBullet"/>
        <w:spacing w:after="40"/>
      </w:pPr>
      <w:r>
        <w:t>☐ Forecast charts contain uncertainty; risk outputs contain confidence/calibration context.</w:t>
      </w:r>
    </w:p>
    <w:p>
      <w:pPr>
        <w:pStyle w:val="ListBullet"/>
        <w:spacing w:after="40"/>
      </w:pPr>
      <w:r>
        <w:t>☐ Action Center can create, assign, update and close an intervention and persist it.</w:t>
      </w:r>
    </w:p>
    <w:p>
      <w:pPr>
        <w:pStyle w:val="ListBullet"/>
        <w:spacing w:after="40"/>
      </w:pPr>
      <w:r>
        <w:t>☐ Role changes alter accessible routes/data server-side.</w:t>
      </w:r>
    </w:p>
    <w:p>
      <w:pPr>
        <w:pStyle w:val="ListBullet"/>
        <w:spacing w:after="40"/>
      </w:pPr>
      <w:r>
        <w:t>☐ Location map supports layer toggles and candidate detail; mobile receives a simplified usable fallback.</w:t>
      </w:r>
    </w:p>
    <w:p>
      <w:pPr>
        <w:pStyle w:val="ListBullet"/>
        <w:spacing w:after="40"/>
      </w:pPr>
      <w:r>
        <w:t>☐ At least one 2.5D/3D experience exists and passes reduced-motion fallback.</w:t>
      </w:r>
    </w:p>
    <w:p>
      <w:pPr>
        <w:pStyle w:val="ListBullet"/>
        <w:spacing w:after="40"/>
      </w:pPr>
      <w:r>
        <w:t>☐ Model cards expose metrics, version, limitations and validation date.</w:t>
      </w:r>
    </w:p>
    <w:p>
      <w:pPr>
        <w:pStyle w:val="ListBullet"/>
        <w:spacing w:after="40"/>
      </w:pPr>
      <w:r>
        <w:t>☐ Prompt injection/adversarial explanation tests exist and LLM failure does not break core intelligence.</w:t>
      </w:r>
    </w:p>
    <w:p>
      <w:pPr>
        <w:pStyle w:val="ListBullet"/>
        <w:spacing w:after="40"/>
      </w:pPr>
      <w:r>
        <w:t>☐ Every critical API has success, validation, unauthorized and not-found tests.</w:t>
      </w:r>
    </w:p>
    <w:p>
      <w:pPr>
        <w:pStyle w:val="ListBullet"/>
        <w:spacing w:after="40"/>
      </w:pPr>
      <w:r>
        <w:t>☐ Core Web Vitals/performance are measured; heavy visual assets are code-split/lazy-loaded.</w:t>
      </w:r>
    </w:p>
    <w:p>
      <w:pPr>
        <w:pStyle w:val="ListBullet"/>
        <w:spacing w:after="40"/>
      </w:pPr>
      <w:r>
        <w:t>☐ No real PII or production upay data is present anywhere in repository, fixtures, screenshots or logs.</w:t>
      </w:r>
    </w:p>
    <w:p>
      <w:pPr>
        <w:pStyle w:val="ListBullet"/>
        <w:spacing w:after="40"/>
      </w:pPr>
      <w:r>
        <w:t>☐ README contains one-command local startup, demo credentials/personas, architecture summary and scenario walkthrough.</w:t>
      </w:r>
    </w:p>
    <w:p>
      <w:pPr>
        <w:pStyle w:val="Title"/>
      </w:pPr>
      <w:r>
        <w:t>25. Recommended MVP vs. Showcase Scope</w:t>
      </w:r>
    </w:p>
    <w:tbl>
      <w:tblPr>
        <w:tblStyle w:val="TableGrid"/>
        <w:tblW w:type="auto" w:w="0"/>
        <w:jc w:val="center"/>
        <w:tblLook w:firstColumn="1" w:firstRow="1" w:lastColumn="0" w:lastRow="0" w:noHBand="0" w:noVBand="1" w:val="04A0"/>
      </w:tblPr>
      <w:tblGrid>
        <w:gridCol w:w="5083"/>
        <w:gridCol w:w="5083"/>
      </w:tblGrid>
      <w:tr>
        <w:tc>
          <w:tcPr>
            <w:tcW w:type="dxa" w:w="5083"/>
            <w:shd w:fill="10233F"/>
          </w:tcPr>
          <w:p>
            <w:pPr>
              <w:spacing w:after="20"/>
            </w:pPr>
            <w:r/>
            <w:r>
              <w:rPr>
                <w:b/>
                <w:color w:val="FFFFFF"/>
                <w:sz w:val="15"/>
              </w:rPr>
              <w:t>Scope</w:t>
            </w:r>
          </w:p>
        </w:tc>
        <w:tc>
          <w:tcPr>
            <w:tcW w:type="dxa" w:w="5083"/>
            <w:shd w:fill="10233F"/>
          </w:tcPr>
          <w:p>
            <w:pPr>
              <w:spacing w:after="20"/>
            </w:pPr>
            <w:r/>
            <w:r>
              <w:rPr>
                <w:b/>
                <w:color w:val="FFFFFF"/>
                <w:sz w:val="15"/>
              </w:rPr>
              <w:t>Required capabilities</w:t>
            </w:r>
          </w:p>
        </w:tc>
      </w:tr>
      <w:tr>
        <w:tc>
          <w:tcPr>
            <w:tcW w:type="dxa" w:w="5083"/>
          </w:tcPr>
          <w:p>
            <w:pPr>
              <w:spacing w:after="20"/>
            </w:pPr>
            <w:r/>
            <w:r>
              <w:rPr>
                <w:b w:val="0"/>
                <w:color w:val="172033"/>
                <w:sz w:val="15"/>
              </w:rPr>
              <w:t>MVP / must work flawlessly</w:t>
            </w:r>
          </w:p>
        </w:tc>
        <w:tc>
          <w:tcPr>
            <w:tcW w:type="dxa" w:w="5083"/>
          </w:tcPr>
          <w:p>
            <w:pPr>
              <w:spacing w:after="20"/>
            </w:pPr>
            <w:r/>
            <w:r>
              <w:rPr>
                <w:b w:val="0"/>
                <w:color w:val="172033"/>
                <w:sz w:val="15"/>
              </w:rPr>
              <w:t>Auth/RBAC, synthetic pipeline, Command Center, Merchant 360 forecast+churn+benchmark, Agent 360 liquidity, Action Center, explanations, audit basics.</w:t>
            </w:r>
          </w:p>
        </w:tc>
      </w:tr>
      <w:tr>
        <w:tc>
          <w:tcPr>
            <w:tcW w:type="dxa" w:w="5083"/>
            <w:shd w:fill="F7F9FC"/>
          </w:tcPr>
          <w:p>
            <w:pPr>
              <w:spacing w:after="20"/>
            </w:pPr>
            <w:r/>
            <w:r>
              <w:rPr>
                <w:b w:val="0"/>
                <w:color w:val="172033"/>
                <w:sz w:val="15"/>
              </w:rPr>
              <w:t>Showcase differentiators</w:t>
            </w:r>
          </w:p>
        </w:tc>
        <w:tc>
          <w:tcPr>
            <w:tcW w:type="dxa" w:w="5083"/>
            <w:shd w:fill="F7F9FC"/>
          </w:tcPr>
          <w:p>
            <w:pPr>
              <w:spacing w:after="20"/>
            </w:pPr>
            <w:r/>
            <w:r>
              <w:rPr>
                <w:b w:val="0"/>
                <w:color w:val="172033"/>
                <w:sz w:val="15"/>
              </w:rPr>
              <w:t>Growth recommendations, agent anomaly/performance, location intelligence, 2.5D map, scenario story mode, what-if simulation.</w:t>
            </w:r>
          </w:p>
        </w:tc>
      </w:tr>
      <w:tr>
        <w:tc>
          <w:tcPr>
            <w:tcW w:type="dxa" w:w="5083"/>
          </w:tcPr>
          <w:p>
            <w:pPr>
              <w:spacing w:after="20"/>
            </w:pPr>
            <w:r/>
            <w:r>
              <w:rPr>
                <w:b w:val="0"/>
                <w:color w:val="172033"/>
                <w:sz w:val="15"/>
              </w:rPr>
              <w:t>Production-readiness proof</w:t>
            </w:r>
          </w:p>
        </w:tc>
        <w:tc>
          <w:tcPr>
            <w:tcW w:type="dxa" w:w="5083"/>
          </w:tcPr>
          <w:p>
            <w:pPr>
              <w:spacing w:after="20"/>
            </w:pPr>
            <w:r/>
            <w:r>
              <w:rPr>
                <w:b w:val="0"/>
                <w:color w:val="172033"/>
                <w:sz w:val="15"/>
              </w:rPr>
              <w:t>Model cards, drift/fairness panels, CI security scans, observability, async jobs, cache, backup/rollback design.</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8F7F4"/>
          </w:tcPr>
          <w:p>
            <w:r/>
            <w:r>
              <w:rPr>
                <w:b/>
                <w:color w:val="1F5EFF"/>
              </w:rPr>
              <w:t xml:space="preserve">IMPLEMENTATION PRIORITY  </w:t>
            </w:r>
            <w:r>
              <w:t>A polished, coherent 4-capability end-to-end prototype is stronger than seven disconnected half-working demos. Keep all seven in the architecture, but make Merchant Forecast + Churn + Agent Liquidity + Location/Action workflow exceptionally strong first.</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A"/>
        <w:sz w:val="14"/>
      </w:rPr>
      <w:t>Merchant &amp; Agent Intelligence Command Center  •  Confidential Competition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B7A"/>
        <w:sz w:val="14"/>
      </w:rPr>
      <w:t>AI HACKATHON 2026  |  TRACK 05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33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5EF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20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3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Pro">
    <w:name w:val="SubtitlePro"/>
    <w:rPr>
      <w:rFonts w:ascii="Aptos" w:hAnsi="Aptos"/>
      <w:b w:val="0"/>
      <w:color w:val="5D6B7A"/>
      <w:sz w:val="26"/>
    </w:rPr>
  </w:style>
  <w:style w:type="paragraph" w:customStyle="1" w:styleId="SmallCaps">
    <w:name w:val="SmallCaps"/>
    <w:rPr>
      <w:rFonts w:ascii="Aptos" w:hAnsi="Aptos"/>
      <w:b/>
      <w:color w:val="1F5EFF"/>
      <w:sz w:val="16"/>
    </w:rPr>
  </w:style>
  <w:style w:type="paragraph" w:customStyle="1" w:styleId="Callout">
    <w:name w:val="Callout"/>
    <w:rPr>
      <w:rFonts w:ascii="Aptos" w:hAnsi="Aptos"/>
      <w:b w:val="0"/>
      <w:color w:val="172033"/>
      <w:sz w:val="18"/>
    </w:rPr>
  </w:style>
  <w:style w:type="paragraph" w:customStyle="1" w:styleId="CodeLike">
    <w:name w:val="CodeLike"/>
    <w:rPr>
      <w:rFonts w:ascii="Aptos" w:hAnsi="Aptos"/>
      <w:b w:val="0"/>
      <w:color w:val="3341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 05 — Merchant &amp; Agent Intelligence SRS (Expanded Build Specification)</dc:title>
  <dc:subject>AI Hackathon 2026 DIU CPC × upay</dc:subject>
  <dc:creator>python-docx</dc:creator>
  <cp:keywords>SRS, MFS, Merchant Intelligence, Agent Intelligence, AI, ML, Security</cp:keywords>
  <dc:description>Expanded implementation-level SRS including complete feature catalogue, page blueprint, premium UI/UX system, coding-agent contract and acceptance checklist.</dc:description>
  <cp:lastModifiedBy/>
  <cp:revision>1</cp:revision>
  <dcterms:created xsi:type="dcterms:W3CDTF">2013-12-23T23:15:00Z</dcterms:created>
  <dcterms:modified xsi:type="dcterms:W3CDTF">2013-12-23T23:15:00Z</dcterms:modified>
  <cp:category/>
</cp:coreProperties>
</file>