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1C8841C" w14:textId="77777777" w:rsidR="009303D9" w:rsidRPr="008B6524" w:rsidRDefault="009303D9" w:rsidP="008B6524">
      <w:pPr>
        <w:pStyle w:val="papertitle"/>
        <w:spacing w:before="5pt" w:beforeAutospacing="1" w:after="5pt" w:afterAutospacing="1"/>
        <w:rPr>
          <w:kern w:val="48"/>
        </w:rPr>
      </w:pPr>
      <w:r w:rsidRPr="008B6524">
        <w:rPr>
          <w:kern w:val="48"/>
        </w:rPr>
        <w:t>Topology-Aware Skew Handling for GraphFrames Motif Queries</w:t>
      </w:r>
    </w:p>
    <w:p w14:paraId="64810675" w14:textId="77777777" w:rsidR="009303D9" w:rsidRDefault="009303D9" w:rsidP="008B6524">
      <w:pPr>
        <w:pStyle w:val="Author"/>
        <w:spacing w:before="5pt" w:beforeAutospacing="1" w:after="5pt" w:afterAutospacing="1"/>
        <w:rPr>
          <w:sz w:val="16"/>
          <w:szCs w:val="16"/>
        </w:rPr>
      </w:pPr>
    </w:p>
    <w:p w14:paraId="44E190A5" w14:textId="77777777" w:rsidR="00D7522C" w:rsidRDefault="00D7522C" w:rsidP="003B4E04">
      <w:pPr>
        <w:pStyle w:val="Author"/>
        <w:spacing w:before="5pt" w:beforeAutospacing="1" w:after="5pt" w:afterAutospacing="1" w:line="6pt" w:lineRule="auto"/>
        <w:rPr>
          <w:sz w:val="16"/>
          <w:szCs w:val="16"/>
        </w:rPr>
      </w:pPr>
    </w:p>
    <w:p w14:paraId="1C76D12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5418188" w14:textId="77777777" w:rsidR="00BD670B" w:rsidRDefault="009303D9" w:rsidP="00723E20">
      <w:pPr>
        <w:pStyle w:val="Author"/>
        <w:spacing w:before="0pt"/>
        <w:rPr>
          <w:sz w:val="18"/>
          <w:szCs w:val="18"/>
        </w:rPr>
      </w:pPr>
      <w:r>
        <w:rPr>
          <w:sz w:val="18"/>
          <w:szCs w:val="18"/>
        </w:rPr>
        <w:t>Samarth Periwal</w:t>
      </w:r>
      <w:r>
        <w:rPr>
          <w:sz w:val="18"/>
          <w:szCs w:val="18"/>
        </w:rPr>
        <w:br/>
        <w:t>RA2411031010002</w:t>
      </w:r>
      <w:r>
        <w:rPr>
          <w:i/>
          <w:sz w:val="18"/>
          <w:szCs w:val="18"/>
        </w:rPr>
        <w:br/>
        <w:t>Dept. of Computing Technologies</w:t>
      </w:r>
      <w:r>
        <w:rPr>
          <w:i/>
          <w:sz w:val="18"/>
          <w:szCs w:val="18"/>
        </w:rPr>
        <w:br/>
        <w:t>SRM Institute of Sci. and Tech.</w:t>
      </w:r>
      <w:r>
        <w:rPr>
          <w:sz w:val="18"/>
          <w:szCs w:val="18"/>
        </w:rPr>
        <w:br/>
        <w:t>Kattankulathur, India</w:t>
      </w:r>
    </w:p>
    <w:p w14:paraId="6629B3E8" w14:textId="76B72431" w:rsidR="00723E20" w:rsidRDefault="00723E20" w:rsidP="00723E20">
      <w:pPr>
        <w:pStyle w:val="Author"/>
        <w:spacing w:before="0pt"/>
        <w:rPr>
          <w:sz w:val="18"/>
          <w:szCs w:val="18"/>
        </w:rPr>
      </w:pPr>
      <w:hyperlink r:id="rId9" w:history="1">
        <w:r w:rsidRPr="0098250F">
          <w:rPr>
            <w:rStyle w:val="Hyperlink"/>
            <w:sz w:val="18"/>
            <w:szCs w:val="18"/>
          </w:rPr>
          <w:t>Samarthperiwal07@gmail.com</w:t>
        </w:r>
      </w:hyperlink>
    </w:p>
    <w:p w14:paraId="3D7515A2" w14:textId="77777777" w:rsidR="00723E20" w:rsidRDefault="00723E20" w:rsidP="00723E20">
      <w:pPr>
        <w:pStyle w:val="Author"/>
        <w:spacing w:before="5pt" w:beforeAutospacing="1"/>
        <w:rPr>
          <w:sz w:val="18"/>
          <w:szCs w:val="18"/>
        </w:rPr>
      </w:pPr>
    </w:p>
    <w:p w14:paraId="1F6AA63D" w14:textId="77777777" w:rsidR="00723E20" w:rsidRDefault="00723E20" w:rsidP="00723E20">
      <w:pPr>
        <w:pStyle w:val="Author"/>
        <w:spacing w:before="5pt" w:beforeAutospacing="1"/>
        <w:rPr>
          <w:sz w:val="18"/>
          <w:szCs w:val="18"/>
        </w:rPr>
      </w:pPr>
    </w:p>
    <w:p w14:paraId="1E70835A" w14:textId="77777777" w:rsidR="00723E20" w:rsidRDefault="00723E20" w:rsidP="00BD670B">
      <w:pPr>
        <w:pStyle w:val="Author"/>
        <w:spacing w:before="5pt" w:beforeAutospacing="1"/>
        <w:rPr>
          <w:sz w:val="18"/>
          <w:szCs w:val="18"/>
        </w:rPr>
      </w:pPr>
    </w:p>
    <w:p w14:paraId="0B65AD6B" w14:textId="77777777" w:rsidR="00723E20" w:rsidRDefault="00723E20" w:rsidP="00BD670B">
      <w:pPr>
        <w:pStyle w:val="Author"/>
        <w:spacing w:before="5pt" w:beforeAutospacing="1"/>
        <w:rPr>
          <w:sz w:val="18"/>
          <w:szCs w:val="18"/>
        </w:rPr>
      </w:pPr>
    </w:p>
    <w:p w14:paraId="0D130E22" w14:textId="5D6BCB5E" w:rsidR="00BD670B" w:rsidRDefault="009303D9" w:rsidP="00723E20">
      <w:pPr>
        <w:pStyle w:val="Author"/>
        <w:spacing w:before="0pt"/>
        <w:rPr>
          <w:sz w:val="18"/>
          <w:szCs w:val="18"/>
        </w:rPr>
      </w:pPr>
      <w:r>
        <w:rPr>
          <w:sz w:val="18"/>
          <w:szCs w:val="18"/>
        </w:rPr>
        <w:t>Lubdhak Mandal</w:t>
      </w:r>
      <w:r>
        <w:rPr>
          <w:sz w:val="18"/>
          <w:szCs w:val="18"/>
        </w:rPr>
        <w:br/>
      </w:r>
      <w:r>
        <w:rPr>
          <w:i/>
          <w:sz w:val="18"/>
          <w:szCs w:val="18"/>
        </w:rPr>
        <w:t>Dept. of Computing Technologies</w:t>
      </w:r>
      <w:r>
        <w:rPr>
          <w:i/>
          <w:sz w:val="18"/>
          <w:szCs w:val="18"/>
        </w:rPr>
        <w:br/>
        <w:t>SRM Institute of Sci. and Tech.</w:t>
      </w:r>
      <w:r>
        <w:rPr>
          <w:sz w:val="18"/>
          <w:szCs w:val="18"/>
        </w:rPr>
        <w:br/>
        <w:t>Kattankulathur, India</w:t>
      </w:r>
    </w:p>
    <w:p w14:paraId="2B1A5CCD" w14:textId="4CB7FBC2" w:rsidR="00723E20" w:rsidRDefault="00723E20" w:rsidP="00723E20">
      <w:pPr>
        <w:pStyle w:val="Author"/>
        <w:spacing w:before="0pt"/>
        <w:rPr>
          <w:sz w:val="18"/>
          <w:szCs w:val="18"/>
        </w:rPr>
      </w:pPr>
      <w:hyperlink r:id="rId10" w:history="1">
        <w:r w:rsidRPr="0098250F">
          <w:rPr>
            <w:rStyle w:val="Hyperlink"/>
            <w:sz w:val="18"/>
            <w:szCs w:val="18"/>
          </w:rPr>
          <w:t>lubdhakmandal@gmail.com</w:t>
        </w:r>
      </w:hyperlink>
    </w:p>
    <w:p w14:paraId="52A639F0" w14:textId="77777777" w:rsidR="00723E20" w:rsidRDefault="00723E20" w:rsidP="00BD670B">
      <w:pPr>
        <w:pStyle w:val="Author"/>
        <w:spacing w:before="5pt" w:beforeAutospacing="1"/>
        <w:rPr>
          <w:sz w:val="18"/>
          <w:szCs w:val="18"/>
        </w:rPr>
      </w:pPr>
    </w:p>
    <w:p w14:paraId="31E3162F" w14:textId="77777777" w:rsidR="00723E20" w:rsidRDefault="00723E20" w:rsidP="00BD670B">
      <w:pPr>
        <w:pStyle w:val="Author"/>
        <w:spacing w:before="5pt" w:beforeAutospacing="1"/>
        <w:rPr>
          <w:sz w:val="18"/>
          <w:szCs w:val="18"/>
        </w:rPr>
      </w:pPr>
    </w:p>
    <w:p w14:paraId="2F11EC05" w14:textId="04C5406C" w:rsidR="00BD670B" w:rsidRDefault="009303D9" w:rsidP="00723E20">
      <w:pPr>
        <w:pStyle w:val="Author"/>
        <w:spacing w:before="0pt"/>
        <w:rPr>
          <w:sz w:val="18"/>
          <w:szCs w:val="18"/>
        </w:rPr>
      </w:pPr>
      <w:r>
        <w:rPr>
          <w:sz w:val="18"/>
          <w:szCs w:val="18"/>
        </w:rPr>
        <w:t>Rayirth Misra</w:t>
      </w:r>
      <w:r>
        <w:rPr>
          <w:sz w:val="18"/>
          <w:szCs w:val="18"/>
        </w:rPr>
        <w:br/>
        <w:t>RA2411031010052</w:t>
      </w:r>
      <w:r>
        <w:rPr>
          <w:i/>
          <w:sz w:val="18"/>
          <w:szCs w:val="18"/>
        </w:rPr>
        <w:br/>
        <w:t>Dept. of Computing Technologies</w:t>
      </w:r>
      <w:r>
        <w:rPr>
          <w:i/>
          <w:sz w:val="18"/>
          <w:szCs w:val="18"/>
        </w:rPr>
        <w:br/>
        <w:t>SRM Institute of Sci. and Tech.</w:t>
      </w:r>
      <w:r>
        <w:rPr>
          <w:sz w:val="18"/>
          <w:szCs w:val="18"/>
        </w:rPr>
        <w:br/>
        <w:t>Kattankulathur, India</w:t>
      </w:r>
    </w:p>
    <w:p w14:paraId="6A7318EB" w14:textId="0940CB8F" w:rsidR="00723E20" w:rsidRDefault="00723E20" w:rsidP="00723E20">
      <w:pPr>
        <w:pStyle w:val="Author"/>
        <w:spacing w:before="0pt"/>
        <w:rPr>
          <w:sz w:val="18"/>
          <w:szCs w:val="18"/>
        </w:rPr>
      </w:pPr>
      <w:hyperlink r:id="rId11" w:history="1">
        <w:r w:rsidRPr="0098250F">
          <w:rPr>
            <w:rStyle w:val="Hyperlink"/>
            <w:sz w:val="18"/>
            <w:szCs w:val="18"/>
          </w:rPr>
          <w:t>rayirthmisra25@gmail.com</w:t>
        </w:r>
      </w:hyperlink>
    </w:p>
    <w:p w14:paraId="5D395C8D" w14:textId="77777777" w:rsidR="00723E20" w:rsidRDefault="00723E20" w:rsidP="00723E20">
      <w:pPr>
        <w:pStyle w:val="Author"/>
        <w:spacing w:before="0pt"/>
        <w:rPr>
          <w:sz w:val="18"/>
          <w:szCs w:val="18"/>
        </w:rPr>
      </w:pPr>
    </w:p>
    <w:p w14:paraId="5D984219" w14:textId="77777777" w:rsidR="00BD670B" w:rsidRDefault="009303D9" w:rsidP="00723E20">
      <w:pPr>
        <w:pStyle w:val="Author"/>
        <w:spacing w:before="0pt"/>
        <w:rPr>
          <w:sz w:val="18"/>
          <w:szCs w:val="18"/>
        </w:rPr>
      </w:pPr>
      <w:r>
        <w:rPr>
          <w:sz w:val="18"/>
          <w:szCs w:val="18"/>
        </w:rPr>
        <w:t>Harshil Agarwal</w:t>
      </w:r>
      <w:r>
        <w:rPr>
          <w:sz w:val="18"/>
          <w:szCs w:val="18"/>
        </w:rPr>
        <w:br/>
        <w:t>RA2411031010062</w:t>
      </w:r>
      <w:r>
        <w:rPr>
          <w:i/>
          <w:sz w:val="18"/>
          <w:szCs w:val="18"/>
        </w:rPr>
        <w:br/>
        <w:t>Dept. of Computing Technologies</w:t>
      </w:r>
      <w:r>
        <w:rPr>
          <w:i/>
          <w:sz w:val="18"/>
          <w:szCs w:val="18"/>
        </w:rPr>
        <w:br/>
        <w:t>SRM Institute of Sci. and Tech.</w:t>
      </w:r>
      <w:r>
        <w:rPr>
          <w:sz w:val="18"/>
          <w:szCs w:val="18"/>
        </w:rPr>
        <w:br/>
        <w:t>Kattankulathur, India</w:t>
      </w:r>
    </w:p>
    <w:p w14:paraId="0EE58EAD" w14:textId="3056952A" w:rsidR="00723E20" w:rsidRDefault="00723E20" w:rsidP="00723E20">
      <w:pPr>
        <w:pStyle w:val="Author"/>
        <w:spacing w:before="0pt"/>
        <w:rPr>
          <w:sz w:val="18"/>
          <w:szCs w:val="18"/>
        </w:rPr>
      </w:pPr>
      <w:hyperlink r:id="rId12" w:history="1">
        <w:r w:rsidRPr="0098250F">
          <w:rPr>
            <w:rStyle w:val="Hyperlink"/>
            <w:sz w:val="18"/>
            <w:szCs w:val="18"/>
          </w:rPr>
          <w:t>harshil.ra24@gmail.com</w:t>
        </w:r>
      </w:hyperlink>
    </w:p>
    <w:p w14:paraId="4F52B11B" w14:textId="77777777" w:rsidR="00723E20" w:rsidRDefault="00723E20" w:rsidP="00723E20">
      <w:pPr>
        <w:pStyle w:val="Author"/>
        <w:spacing w:before="0pt"/>
        <w:rPr>
          <w:sz w:val="18"/>
          <w:szCs w:val="18"/>
        </w:rPr>
      </w:pPr>
    </w:p>
    <w:p w14:paraId="5307D368" w14:textId="77777777" w:rsidR="00723E20" w:rsidRDefault="00723E20" w:rsidP="00BD670B">
      <w:pPr>
        <w:pStyle w:val="Author"/>
        <w:spacing w:before="5pt" w:beforeAutospacing="1"/>
        <w:rPr>
          <w:sz w:val="18"/>
          <w:szCs w:val="18"/>
        </w:rPr>
      </w:pPr>
    </w:p>
    <w:p w14:paraId="0C3AE052" w14:textId="77777777" w:rsidR="009F1D79" w:rsidRDefault="009F1D79" w:rsidP="00723E20">
      <w:pPr>
        <w:jc w:val="both"/>
        <w:sectPr w:rsidR="009F1D79" w:rsidSect="003B4E04">
          <w:type w:val="continuous"/>
          <w:pgSz w:w="595.30pt" w:h="841.90pt" w:code="9"/>
          <w:pgMar w:top="22.50pt" w:right="44.65pt" w:bottom="72pt" w:left="44.65pt" w:header="36pt" w:footer="36pt" w:gutter="0pt"/>
          <w:cols w:num="3" w:space="36pt"/>
          <w:docGrid w:linePitch="360"/>
        </w:sectPr>
      </w:pPr>
    </w:p>
    <w:p w14:paraId="49BC62F6"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B2D418B" w14:textId="77777777" w:rsidR="004D72B5" w:rsidRDefault="009303D9" w:rsidP="00972203">
      <w:pPr>
        <w:pStyle w:val="Abstract"/>
        <w:rPr>
          <w:i/>
          <w:iCs/>
        </w:rPr>
      </w:pPr>
      <w:r>
        <w:rPr>
          <w:i/>
          <w:iCs/>
        </w:rPr>
        <w:t>Abstract</w:t>
      </w:r>
      <w:r>
        <w:t>—This paper addresses the problem of computational join skew in GraphFrames motif queries executed over power-law graphs on Apache Spark. GraphFrames compiles graph motif patterns directly into relational edge-to-edge DataFrame joins, so a high-fan-out intermediate vertex, or hub, can generate a Cartesian-product workload of size d⁻(h)×d⁺(h) even when its raw input byte footprint is small. Spark's Adaptive Query Execution (AQE) subsystem detects skew only through absolute and relative byte-size thresholds, and is therefore structurally blind to hubs whose input bytes are modest but whose degree product is large, allowing a single reduce task to be assigned millions of candidate output rows. We propose a proactive, topology-aware planning layer that computes directed vertex degree statistics ahead of the motif join and routes high-workload hub vertices through a Degree-Balanced 2D Hypercube Partitioning scheme, adapted from the Shares/SharesSkew hypercube-join literature, in which a hub's incoming and outgoing edge sets are distributed across an r×s grid of Spark tasks rather than concentrated in a single task. This reduces per-task replication cost from the O(P) of one-dimensional salting to O(√P) while bounding the Cartesian workload assigned to any single task. The remainder of this paper reviews the relevant literature on relational join-skew handling and graph-parallel partitioning, formalizes the proposed grid-partitioning approach, and outlines an empirical evaluation methodology using synthetic uniform, byte-skewed, and compute-skewed benchmark graphs.</w:t>
      </w:r>
    </w:p>
    <w:p w14:paraId="72386AF4" w14:textId="77777777" w:rsidR="009303D9" w:rsidRPr="004D72B5" w:rsidRDefault="004D72B5" w:rsidP="00972203">
      <w:pPr>
        <w:pStyle w:val="Keywords"/>
      </w:pPr>
      <w:r w:rsidRPr="004D72B5">
        <w:t>Keywords—</w:t>
      </w:r>
      <w:r>
        <w:rPr>
          <w:b w:val="0"/>
        </w:rPr>
        <w:t>GraphFrames, Apache Spark, data skew, motif queries, power-law graphs, Adaptive Query Execution, hypercube partitioning, join optimization</w:t>
      </w:r>
    </w:p>
    <w:p w14:paraId="796BFD56" w14:textId="77777777" w:rsidR="009303D9" w:rsidRPr="00D632BE" w:rsidRDefault="009303D9" w:rsidP="006B6B66">
      <w:pPr>
        <w:pStyle w:val="Heading1"/>
      </w:pPr>
      <w:r w:rsidRPr="00D632BE">
        <w:t>Introduction</w:t>
      </w:r>
    </w:p>
    <w:p w14:paraId="3EE2BF42" w14:textId="77777777" w:rsidR="009303D9" w:rsidRPr="005B520E" w:rsidRDefault="009303D9" w:rsidP="00E7596C">
      <w:pPr>
        <w:pStyle w:val="BodyText"/>
      </w:pPr>
      <w:r w:rsidRPr="005B520E">
        <w:t>The evolution of Apache Spark as a unified analytics engine has been driven by a progressive abstraction of the physical execution layer away from the programmer. Spark SQL and the DataFrame API compile declarative, relational computations through the Catalyst Optimizer into a physical plan executed by Spark's Tungsten engine, yielding benefits such as predicate pushdown, projection pruning, join reordering, and adaptive runtime re-planning that are unavailable to hand-written RDD pipelines.</w:t>
      </w:r>
    </w:p>
    <w:p w14:paraId="1BD019ED" w14:textId="77777777" w:rsidR="009303D9" w:rsidRPr="005B520E" w:rsidRDefault="009303D9" w:rsidP="00E7596C">
      <w:pPr>
        <w:pStyle w:val="BodyText"/>
      </w:pPr>
      <w:r w:rsidRPr="005B520E">
        <w:t>GraphFrames extends this relational paradigm into graph analytics by representing a graph as a pair of ordinary Spark DataFrames — a vertices DataFrame and an edges DataFrame — and exposing a declarative motif-finding interface such as (a)-[e1]→(b); (b)-[e2]→(c). Internally, a motif query of this form is compiled directly into a sequence of ordinary DataFrame equi-joins on the shared vertex variable, for instance e1.join(e2, e1("dst") === e2("src")), which Catalyst then plans and executes exactly as it would any other relational join.</w:t>
      </w:r>
    </w:p>
    <w:p w14:paraId="197F4F80" w14:textId="77777777" w:rsidR="009303D9" w:rsidRPr="005B520E" w:rsidRDefault="009303D9" w:rsidP="00E7596C">
      <w:pPr>
        <w:pStyle w:val="BodyText"/>
      </w:pPr>
      <w:r w:rsidRPr="005B520E">
        <w:t>Because GraphFrames motif evaluation is, at the physical level, nothing more than a chain of DataFrame joins, every pathology that afflicts distributed relational joins under skewed key distributions applies with undiminished force to graph motif queries. Real-world graphs — financial transaction ledgers, social networks, telecommunication call records — are overwhelmingly power-law graphs, in which a small minority of hub vertices accumulate a disproportionate share of incident edges. For an intermediate hub vertex h in a two-hop motif, the computational join workload is governed not by the byte volume of its incident edges but by its directed degree product, W(h) = d⁻(h) × d⁺(h). A hub with 4,000 incoming and 4,000 outgoing edges occupies under a megabyte of raw shuffle data yet forces the join operator to materialize 16,000,000 candidate output rows, all assigned by default to a single reduce task.</w:t>
      </w:r>
    </w:p>
    <w:p w14:paraId="44199008" w14:textId="77777777" w:rsidR="009303D9" w:rsidRPr="005B520E" w:rsidRDefault="009303D9" w:rsidP="00E7596C">
      <w:pPr>
        <w:pStyle w:val="BodyText"/>
      </w:pPr>
      <w:r w:rsidRPr="005B520E">
        <w:t>Spark's Adaptive Query Execution (AQE) subsystem, which dynamically splits skewed shuffle partitions at runtime, is a purely byte-threshold-driven mechanism: a partition is classified as skewed only when it simultaneously exceeds an absolute byte threshold (256 MB by default) and a relative threshold of five times the median partition size. A computational hub whose input footprint is small but whose degree product is catastrophic is therefore entirely invisible to AQE, and Spark's SortMergeJoin operator is left to buffer the full set of matching rows for that key inside an ExternalAppendOnlyUnsafeRowArray, which spills to disk and produces severe task stragglers or executor out-of-memory failures.</w:t>
      </w:r>
    </w:p>
    <w:p w14:paraId="23B75508" w14:textId="77777777" w:rsidR="009303D9" w:rsidRPr="005B520E" w:rsidRDefault="009303D9" w:rsidP="00E7596C">
      <w:pPr>
        <w:pStyle w:val="BodyText"/>
      </w:pPr>
      <w:r w:rsidRPr="005B520E">
        <w:lastRenderedPageBreak/>
        <w:t>This paper proposes a proactive, topology-aware pre-processing planner that operates upstream of Catalyst's physical join planning. The planner performs a lightweight aggregation over the edges DataFrame to compute the directed in-degree and out-degree of every vertex, isolates high-workload hub vertices whose degree product exceeds a configurable threshold, and routes their edges through a Degree-Balanced 2D Hypercube Partitioning scheme adapted from the classical Shares algorithm and its skew-aware descendant SharesSkew. The incoming edge set of a hub is partitioned across the r rows of a grid while the outgoing edge set is partitioned across the s columns, spreading the Cartesian-product workload across r×s tasks and reducing replication cost from O(P) under one-dimensional salting to O(√P). The remainder of this paper reviews the relevant literature (Section II) and situates the proposed grid-join scheme with respect to it, and outlines the evaluation methodology and expected contributions of the work.</w:t>
      </w:r>
    </w:p>
    <w:p w14:paraId="4B45CA61" w14:textId="77777777" w:rsidR="009303D9" w:rsidRPr="006B6B66" w:rsidRDefault="00F21360" w:rsidP="006B6B66">
      <w:pPr>
        <w:pStyle w:val="Heading1"/>
      </w:pPr>
      <w:r>
        <w:t>Literature Review</w:t>
      </w:r>
    </w:p>
    <w:p w14:paraId="4F71C71A" w14:textId="77777777" w:rsidR="009303D9" w:rsidRPr="005B520E" w:rsidRDefault="009303D9" w:rsidP="00E7596C">
      <w:pPr>
        <w:pStyle w:val="BodyText"/>
      </w:pPr>
      <w:r w:rsidRPr="005B520E">
        <w:t>This section surveys the works, drawn primarily from the relational join-optimization and graph-parallel computing literatures, that establish the context for the proposed topology-aware grid-partitioning scheme.</w:t>
      </w:r>
    </w:p>
    <w:p w14:paraId="5AEFFE72" w14:textId="77777777" w:rsidR="009303D9" w:rsidRDefault="009303D9" w:rsidP="00ED0149">
      <w:pPr>
        <w:pStyle w:val="Heading2"/>
      </w:pPr>
      <w:r>
        <w:t>Declarative Graph Query Execution</w:t>
      </w:r>
    </w:p>
    <w:p w14:paraId="440138A0" w14:textId="77777777" w:rsidR="009303D9" w:rsidRPr="005B520E" w:rsidRDefault="009303D9" w:rsidP="00E7596C">
      <w:pPr>
        <w:pStyle w:val="BodyText"/>
      </w:pPr>
      <w:r w:rsidRPr="005B520E">
        <w:t>Dave et al. [1] introduce GraphFrames, which translates graph motif patterns such as (a)-[e1]→(b)-[e2]→(c) into a sequence of relational edge-to-edge DataFrame joins (e1.join(e2, e1.dst == e2.src)) executed by the Spark SQL engine. This work is the primary execution baseline for the present project, since it is precisely this join-translation strategy that is exposed to computational skew whenever the underlying graph follows a power-law degree distribution; the paper does not itself propose any degree-aware partitioning mechanism to protect the resulting joins.</w:t>
      </w:r>
    </w:p>
    <w:p w14:paraId="7DE62A76" w14:textId="77777777" w:rsidR="009303D9" w:rsidRPr="005B520E" w:rsidRDefault="009303D9" w:rsidP="00E7596C">
      <w:pPr>
        <w:pStyle w:val="BodyText"/>
      </w:pPr>
      <w:r w:rsidRPr="005B520E">
        <w:t>Fan et al. [2] study Spark's Adaptive Query Execution (AQE) framework, which re-optimizes a query plan at runtime using actual shuffle statistics. AQE examines the byte size of shuffle partitions and splits a partition once it exceeds both an absolute and a relative size threshold, but it reacts only after a partition has already materialized, and it has no visibility into a hub vertex whose byte footprint is small but whose computational output is large.</w:t>
      </w:r>
    </w:p>
    <w:p w14:paraId="01F7F6FE" w14:textId="77777777" w:rsidR="009303D9" w:rsidRDefault="009303D9" w:rsidP="00ED0149">
      <w:pPr>
        <w:pStyle w:val="Heading2"/>
      </w:pPr>
      <w:r>
        <w:t>Skew-Aware Join Partitioning</w:t>
      </w:r>
    </w:p>
    <w:p w14:paraId="20CB2725" w14:textId="77777777" w:rsidR="009303D9" w:rsidRPr="005B520E" w:rsidRDefault="009303D9" w:rsidP="00E7596C">
      <w:pPr>
        <w:pStyle w:val="BodyText"/>
      </w:pPr>
      <w:r w:rsidRPr="005B520E">
        <w:t xml:space="preserve">Afrati and Ullman [3] propose the Shares (Hypercube) algorithm, which maps the tuples of a multi-way join onto the cells of a multi-dimensional processor grid so that combinatorial join workload is spread evenly across reduce workers rather than concentrated on one. A companion paper [4] casts the selection of grid dimensions as a communication-minimizing linear program. Afrati et al. [5] extend this framework in SharesSkew, which first identifies heavy-hitter join keys and maps each isolated key onto an asymmetric r×s grid sized to its specific degree imbalance; this asymmetric grid-sizing rule is the direct ancestor of the r and s allocation formulas used in the present work. DeWitt et al. [6] address skewed sort-merge joins with a divide-and-conquer strategy that samples skewed keys at runtime and redistributes their records round-robin across a designated subset of processors, informing the analysis of how Spark's SortMergeJoin operator buffers and spills matching rows under key skew. Beame et al. [7] supply formal communication and per-worker load lower bounds proving that any partitioning strategy based solely on </w:t>
      </w:r>
      <w:r w:rsidRPr="005B520E">
        <w:t>relation cardinality or byte volume is fundamentally insufficient to guarantee balanced load under skewed join-key frequency distributions, providing theoretical justification for treating computational and byte skew as distinct problems. Hua et al. [8] integrate skew handling directly into the planning phase of a parallel query optimizer, estimating a numerical skew factor for each candidate join key ahead of execution, which supports this project's proactive rather than reactive design philosophy, and Metwally [9] proposes an Adaptive Multistage Join strategy that monitors join-key frequency at runtime and routes hot keys through a salting scheme combined with auxiliary hash buckets.</w:t>
      </w:r>
    </w:p>
    <w:p w14:paraId="2CA98B1D" w14:textId="77777777" w:rsidR="009303D9" w:rsidRDefault="009303D9" w:rsidP="00ED0149">
      <w:pPr>
        <w:pStyle w:val="Heading2"/>
      </w:pPr>
      <w:r>
        <w:t>Degree-Aware Graph Partitioning</w:t>
      </w:r>
    </w:p>
    <w:p w14:paraId="7F4AABC0" w14:textId="77777777" w:rsidR="009303D9" w:rsidRPr="005B520E" w:rsidRDefault="009303D9" w:rsidP="00E7596C">
      <w:pPr>
        <w:pStyle w:val="BodyText"/>
      </w:pPr>
      <w:r w:rsidRPr="005B520E">
        <w:t>Gonzalez et al. [10] introduce PowerGraph and its vertex-cut partitioning strategy, in which high-degree vertices are mirrored across multiple machines while their incident edges are distributed among those machines, supplying the core conceptual philosophy that a hub vertex should be a first-class unit of repartitioning. Xie et al. [11] formulate a differentiated, degree-aware hashing scheme in which high-degree and low-degree vertices are subjected to distinct physical placement rules, directly supporting the decision to route light-key and heavy-key motif joins through structurally different execution branches. Both approaches, however, operate inside specialized graph-parallel runtimes entirely outside the Spark SQL DataFrame ecosystem.</w:t>
      </w:r>
    </w:p>
    <w:p w14:paraId="6EABEB3E" w14:textId="77777777" w:rsidR="009303D9" w:rsidRDefault="009303D9" w:rsidP="00ED0149">
      <w:pPr>
        <w:pStyle w:val="Heading2"/>
      </w:pPr>
      <w:r>
        <w:t>Graph Pattern Matching at Scale</w:t>
      </w:r>
    </w:p>
    <w:p w14:paraId="546CAB86" w14:textId="77777777" w:rsidR="009303D9" w:rsidRPr="005B520E" w:rsidRDefault="009303D9" w:rsidP="00E7596C">
      <w:pPr>
        <w:pStyle w:val="BodyText"/>
      </w:pPr>
      <w:r w:rsidRPr="005B520E">
        <w:t>Shi et al. [12] present GraphPi, which reduces redundant computation in graph pattern matching using asymmetric restrictions and a performance model to select efficient matching orders, and a related system, Dryadic [13], provides a flexible computation-tree representation with multiple execution backends for large-scale pattern matching. Lai et al. [14] present GLogS, which compiles declarative graph queries into optimized execution plans automatically at large scale, and Mayer and Jacobsen [15] propose a hybrid in-memory and streaming edge-partitioning approach for power-law graphs that exceed available memory. These systems demonstrate mature approaches to scalable pattern matching but, like GraphFrames, do not combine degree-aware partitioning with a Catalyst-visible relational join layer.</w:t>
      </w:r>
    </w:p>
    <w:p w14:paraId="67FD1336" w14:textId="77777777" w:rsidR="009303D9" w:rsidRDefault="009303D9" w:rsidP="00ED0149">
      <w:pPr>
        <w:pStyle w:val="Heading2"/>
      </w:pPr>
      <w:r>
        <w:t>Summary and Research Gap</w:t>
      </w:r>
    </w:p>
    <w:p w14:paraId="72D6EF28" w14:textId="77777777" w:rsidR="009303D9" w:rsidRPr="005B520E" w:rsidRDefault="009303D9" w:rsidP="00E7596C">
      <w:pPr>
        <w:pStyle w:val="BodyText"/>
      </w:pPr>
      <w:r w:rsidRPr="005B520E">
        <w:t>Two research traditions emerge from this survey: a relational join-optimization tradition (Shares, SharesSkew, communication lower bounds, cost-based skew estimation, adaptive multistage salting) that produces general skew-handling algorithms with no awareness of graph topology, and a graph-parallel computing tradition (PowerGraph, degree-aware hashing) that produces highly effective degree-aware partitioning with no integration into a declarative, Catalyst-optimized relational query engine. GraphFrames [1] sits at the boundary of these traditions but does not draw on either to protect its motif joins from computational skew. No work identified in this survey applies a proactive, two-dimensional Shares-style partitioning scheme directly to the edge-to-edge motif joins compiled by a unified relational DataFrame framework — the gap that the proposed Degree-Balanced 2D Hypercube Partitioning scheme is intended to occupy.</w:t>
      </w:r>
    </w:p>
    <w:p w14:paraId="3AA1CAFE" w14:textId="77777777" w:rsidR="009303D9" w:rsidRDefault="009303D9" w:rsidP="006B6B66">
      <w:pPr>
        <w:pStyle w:val="Heading1"/>
      </w:pPr>
      <w:r>
        <w:t xml:space="preserve">Prepare Your Paper </w:t>
      </w:r>
      <w:r w:rsidRPr="005B520E">
        <w:t>Before</w:t>
      </w:r>
      <w:r>
        <w:t xml:space="preserve"> Styling</w:t>
      </w:r>
    </w:p>
    <w:p w14:paraId="6BF536A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 xml:space="preserve">Complete all content and </w:t>
      </w:r>
      <w:r w:rsidR="00D7522C">
        <w:rPr>
          <w:lang w:val="en-US"/>
        </w:rPr>
        <w:lastRenderedPageBreak/>
        <w:t>organizational editing before formatting. Please note sections A-D below for more information on proofreading, spelling and grammar.</w:t>
      </w:r>
    </w:p>
    <w:p w14:paraId="393FAB32"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A976BEA" w14:textId="77777777" w:rsidR="009303D9" w:rsidRDefault="009303D9" w:rsidP="00ED0149">
      <w:pPr>
        <w:pStyle w:val="Heading2"/>
      </w:pPr>
      <w:r w:rsidRPr="00ED0149">
        <w:t>Abbreviations</w:t>
      </w:r>
      <w:r>
        <w:t xml:space="preserve"> and Acronyms</w:t>
      </w:r>
    </w:p>
    <w:p w14:paraId="7E13C62C"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57A681D7" w14:textId="77777777" w:rsidR="009303D9" w:rsidRDefault="009303D9" w:rsidP="00ED0149">
      <w:pPr>
        <w:pStyle w:val="Heading2"/>
      </w:pPr>
      <w:r>
        <w:t>Units</w:t>
      </w:r>
    </w:p>
    <w:p w14:paraId="29CFF8B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A843AC6"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2DCF98AB"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1020B0B1"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1271E3D"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4BFDCE1" w14:textId="77777777" w:rsidR="009303D9" w:rsidRPr="005B520E" w:rsidRDefault="009303D9" w:rsidP="00ED0149">
      <w:pPr>
        <w:pStyle w:val="Heading2"/>
      </w:pPr>
      <w:r w:rsidRPr="005B520E">
        <w:t>Equations</w:t>
      </w:r>
    </w:p>
    <w:p w14:paraId="2F8991F6"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BB14543"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ABAEC56"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200986A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87F34E5" w14:textId="77777777" w:rsidR="009303D9" w:rsidRDefault="009303D9" w:rsidP="00ED0149">
      <w:pPr>
        <w:pStyle w:val="Heading2"/>
      </w:pPr>
      <w:r>
        <w:t>Some Common Mistakes</w:t>
      </w:r>
    </w:p>
    <w:p w14:paraId="331CFD93" w14:textId="77777777" w:rsidR="009303D9" w:rsidRPr="005B520E" w:rsidRDefault="009303D9" w:rsidP="00E7596C">
      <w:pPr>
        <w:pStyle w:val="bulletlist"/>
      </w:pPr>
      <w:r w:rsidRPr="005B520E">
        <w:t>The word “data” is plural, not singular.</w:t>
      </w:r>
    </w:p>
    <w:p w14:paraId="7A38B5B5"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C9FE1A1"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C9FC78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8B5C754" w14:textId="77777777" w:rsidR="009303D9" w:rsidRPr="005B520E" w:rsidRDefault="009303D9" w:rsidP="00E7596C">
      <w:pPr>
        <w:pStyle w:val="bulletlist"/>
      </w:pPr>
      <w:r w:rsidRPr="005B520E">
        <w:t>Do not use the word “essentially” to mean “approximately” or “effectively”.</w:t>
      </w:r>
    </w:p>
    <w:p w14:paraId="60ACBA14"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D6B85ED"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0FDCE30" w14:textId="77777777" w:rsidR="009303D9" w:rsidRPr="005B520E" w:rsidRDefault="009303D9" w:rsidP="00E7596C">
      <w:pPr>
        <w:pStyle w:val="bulletlist"/>
      </w:pPr>
      <w:r w:rsidRPr="005B520E">
        <w:t>Do not confuse “imply” and “infer”.</w:t>
      </w:r>
    </w:p>
    <w:p w14:paraId="23DBA8EF" w14:textId="77777777" w:rsidR="009303D9" w:rsidRPr="005B520E" w:rsidRDefault="009303D9" w:rsidP="00E7596C">
      <w:pPr>
        <w:pStyle w:val="bulletlist"/>
      </w:pPr>
      <w:r w:rsidRPr="005B520E">
        <w:t>The prefix “non” is not a word; it should be joined to the word it modifies, usually without a hyphen.</w:t>
      </w:r>
    </w:p>
    <w:p w14:paraId="3CEC93B8" w14:textId="77777777" w:rsidR="009303D9" w:rsidRPr="005B520E" w:rsidRDefault="009303D9" w:rsidP="00E7596C">
      <w:pPr>
        <w:pStyle w:val="bulletlist"/>
      </w:pPr>
      <w:r w:rsidRPr="005B520E">
        <w:t>There is no period after the “et” in the Latin abbreviation “et al.”.</w:t>
      </w:r>
    </w:p>
    <w:p w14:paraId="5AEBD657" w14:textId="77777777" w:rsidR="009303D9" w:rsidRPr="005B520E" w:rsidRDefault="009303D9" w:rsidP="00E7596C">
      <w:pPr>
        <w:pStyle w:val="bulletlist"/>
      </w:pPr>
      <w:r w:rsidRPr="005B520E">
        <w:t>The abbreviation “i.e.” means “that is”, and the abbreviation “e.g.” means “for example”.</w:t>
      </w:r>
    </w:p>
    <w:p w14:paraId="248ABDB2" w14:textId="77777777" w:rsidR="009303D9" w:rsidRPr="005B520E" w:rsidRDefault="009303D9" w:rsidP="00E7596C">
      <w:pPr>
        <w:pStyle w:val="BodyText"/>
      </w:pPr>
      <w:r w:rsidRPr="005B520E">
        <w:t>An excellent style manual for science writers is [7].</w:t>
      </w:r>
    </w:p>
    <w:p w14:paraId="799C1354" w14:textId="77777777" w:rsidR="009303D9" w:rsidRDefault="009303D9" w:rsidP="006B6B66">
      <w:pPr>
        <w:pStyle w:val="Heading1"/>
      </w:pPr>
      <w:r>
        <w:t xml:space="preserve">Using the </w:t>
      </w:r>
      <w:r w:rsidRPr="005B520E">
        <w:t>Template</w:t>
      </w:r>
    </w:p>
    <w:p w14:paraId="739E6A29"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F5B8F6C" w14:textId="77777777" w:rsidR="009303D9" w:rsidRDefault="009303D9" w:rsidP="00ED0149">
      <w:pPr>
        <w:pStyle w:val="Heading2"/>
      </w:pPr>
      <w:r w:rsidRPr="005B520E">
        <w:t>Authors</w:t>
      </w:r>
      <w:r>
        <w:t xml:space="preserve"> and Affiliations</w:t>
      </w:r>
    </w:p>
    <w:p w14:paraId="1699E4B3"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8E75EED" w14:textId="77777777" w:rsidR="002850E3" w:rsidRDefault="002850E3" w:rsidP="00794804">
      <w:pPr>
        <w:pStyle w:val="Heading3"/>
      </w:pPr>
      <w:r>
        <w:lastRenderedPageBreak/>
        <w:t xml:space="preserve">For papers with more than six authors: </w:t>
      </w:r>
      <w:r>
        <w:rPr>
          <w:i w:val="0"/>
        </w:rPr>
        <w:t>Add author names horizontally, moving to a third row if needed for more than 8 authors.</w:t>
      </w:r>
    </w:p>
    <w:p w14:paraId="4F3170E7"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36C540B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8504415"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A50BBC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1640E5EA" w14:textId="77777777" w:rsidR="006F6D3D" w:rsidRDefault="006F6D3D" w:rsidP="006F6D3D">
      <w:pPr>
        <w:jc w:val="start"/>
        <w:rPr>
          <w:i/>
          <w:iCs/>
          <w:noProof/>
        </w:rPr>
      </w:pPr>
    </w:p>
    <w:p w14:paraId="52C0F7F5" w14:textId="77777777" w:rsidR="009303D9" w:rsidRDefault="009303D9" w:rsidP="00ED0149">
      <w:pPr>
        <w:pStyle w:val="Heading2"/>
      </w:pPr>
      <w:r w:rsidRPr="005B520E">
        <w:t>Identify</w:t>
      </w:r>
      <w:r>
        <w:t xml:space="preserve"> the Headings</w:t>
      </w:r>
    </w:p>
    <w:p w14:paraId="4FF54373"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0F297DA1"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5C53DB7"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ADD601C" w14:textId="77777777" w:rsidR="009303D9" w:rsidRDefault="009303D9" w:rsidP="00ED0149">
      <w:pPr>
        <w:pStyle w:val="Heading2"/>
      </w:pPr>
      <w:r>
        <w:t>Figures and Tables</w:t>
      </w:r>
    </w:p>
    <w:p w14:paraId="59BCE8B6"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F388674"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CC12DEA" w14:textId="77777777">
        <w:trPr>
          <w:cantSplit/>
          <w:trHeight w:val="240"/>
          <w:tblHeader/>
          <w:jc w:val="center"/>
        </w:trPr>
        <w:tc>
          <w:tcPr>
            <w:tcW w:w="36pt" w:type="dxa"/>
            <w:vMerge w:val="restart"/>
            <w:vAlign w:val="center"/>
          </w:tcPr>
          <w:p w14:paraId="768ADF0A" w14:textId="77777777" w:rsidR="009303D9" w:rsidRDefault="009303D9">
            <w:pPr>
              <w:pStyle w:val="tablecolhead"/>
            </w:pPr>
            <w:r>
              <w:t>Table Head</w:t>
            </w:r>
          </w:p>
        </w:tc>
        <w:tc>
          <w:tcPr>
            <w:tcW w:w="207pt" w:type="dxa"/>
            <w:gridSpan w:val="3"/>
            <w:vAlign w:val="center"/>
          </w:tcPr>
          <w:p w14:paraId="489B66BD" w14:textId="77777777" w:rsidR="009303D9" w:rsidRDefault="009303D9">
            <w:pPr>
              <w:pStyle w:val="tablecolhead"/>
            </w:pPr>
            <w:r>
              <w:t>Table Column Head</w:t>
            </w:r>
          </w:p>
        </w:tc>
      </w:tr>
      <w:tr w:rsidR="009303D9" w14:paraId="53193539" w14:textId="77777777">
        <w:trPr>
          <w:cantSplit/>
          <w:trHeight w:val="240"/>
          <w:tblHeader/>
          <w:jc w:val="center"/>
        </w:trPr>
        <w:tc>
          <w:tcPr>
            <w:tcW w:w="36pt" w:type="dxa"/>
            <w:vMerge/>
          </w:tcPr>
          <w:p w14:paraId="6A0B27E5" w14:textId="77777777" w:rsidR="009303D9" w:rsidRDefault="009303D9">
            <w:pPr>
              <w:rPr>
                <w:sz w:val="16"/>
                <w:szCs w:val="16"/>
              </w:rPr>
            </w:pPr>
          </w:p>
        </w:tc>
        <w:tc>
          <w:tcPr>
            <w:tcW w:w="117pt" w:type="dxa"/>
            <w:vAlign w:val="center"/>
          </w:tcPr>
          <w:p w14:paraId="49067DBE" w14:textId="77777777" w:rsidR="009303D9" w:rsidRDefault="009303D9">
            <w:pPr>
              <w:pStyle w:val="tablecolsubhead"/>
            </w:pPr>
            <w:r>
              <w:t>Table column subhead</w:t>
            </w:r>
          </w:p>
        </w:tc>
        <w:tc>
          <w:tcPr>
            <w:tcW w:w="45pt" w:type="dxa"/>
            <w:vAlign w:val="center"/>
          </w:tcPr>
          <w:p w14:paraId="1912BE0A" w14:textId="77777777" w:rsidR="009303D9" w:rsidRDefault="009303D9">
            <w:pPr>
              <w:pStyle w:val="tablecolsubhead"/>
            </w:pPr>
            <w:r>
              <w:t>Subhead</w:t>
            </w:r>
          </w:p>
        </w:tc>
        <w:tc>
          <w:tcPr>
            <w:tcW w:w="45pt" w:type="dxa"/>
            <w:vAlign w:val="center"/>
          </w:tcPr>
          <w:p w14:paraId="7F113B34" w14:textId="77777777" w:rsidR="009303D9" w:rsidRDefault="009303D9">
            <w:pPr>
              <w:pStyle w:val="tablecolsubhead"/>
            </w:pPr>
            <w:r>
              <w:t>Subhead</w:t>
            </w:r>
          </w:p>
        </w:tc>
      </w:tr>
      <w:tr w:rsidR="009303D9" w14:paraId="11FB0F0C" w14:textId="77777777">
        <w:trPr>
          <w:trHeight w:val="320"/>
          <w:jc w:val="center"/>
        </w:trPr>
        <w:tc>
          <w:tcPr>
            <w:tcW w:w="36pt" w:type="dxa"/>
            <w:vAlign w:val="center"/>
          </w:tcPr>
          <w:p w14:paraId="091BA4F3" w14:textId="77777777" w:rsidR="009303D9" w:rsidRDefault="009303D9">
            <w:pPr>
              <w:pStyle w:val="tablecopy"/>
              <w:rPr>
                <w:sz w:val="8"/>
                <w:szCs w:val="8"/>
              </w:rPr>
            </w:pPr>
            <w:r>
              <w:t>copy</w:t>
            </w:r>
          </w:p>
        </w:tc>
        <w:tc>
          <w:tcPr>
            <w:tcW w:w="117pt" w:type="dxa"/>
            <w:vAlign w:val="center"/>
          </w:tcPr>
          <w:p w14:paraId="0493BE92" w14:textId="77777777" w:rsidR="009303D9" w:rsidRDefault="009303D9">
            <w:pPr>
              <w:pStyle w:val="tablecopy"/>
            </w:pPr>
            <w:r>
              <w:t>More table copy</w:t>
            </w:r>
            <w:r>
              <w:rPr>
                <w:vertAlign w:val="superscript"/>
              </w:rPr>
              <w:t>a</w:t>
            </w:r>
          </w:p>
        </w:tc>
        <w:tc>
          <w:tcPr>
            <w:tcW w:w="45pt" w:type="dxa"/>
            <w:vAlign w:val="center"/>
          </w:tcPr>
          <w:p w14:paraId="330294AC" w14:textId="77777777" w:rsidR="009303D9" w:rsidRDefault="009303D9">
            <w:pPr>
              <w:rPr>
                <w:sz w:val="16"/>
                <w:szCs w:val="16"/>
              </w:rPr>
            </w:pPr>
          </w:p>
        </w:tc>
        <w:tc>
          <w:tcPr>
            <w:tcW w:w="45pt" w:type="dxa"/>
            <w:vAlign w:val="center"/>
          </w:tcPr>
          <w:p w14:paraId="050E55B7" w14:textId="77777777" w:rsidR="009303D9" w:rsidRDefault="009303D9">
            <w:pPr>
              <w:rPr>
                <w:sz w:val="16"/>
                <w:szCs w:val="16"/>
              </w:rPr>
            </w:pPr>
          </w:p>
        </w:tc>
      </w:tr>
    </w:tbl>
    <w:p w14:paraId="677CF05C"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F1DF1AF"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ACD8E81"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w:t>
      </w:r>
      <w:r w:rsidRPr="005B520E">
        <w:t>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AE0D317"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E0EE64E"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7CA62D14" w14:textId="77777777" w:rsidR="009303D9" w:rsidRDefault="009303D9" w:rsidP="00A059B3">
      <w:pPr>
        <w:pStyle w:val="Heading5"/>
      </w:pPr>
      <w:r w:rsidRPr="005B520E">
        <w:t>References</w:t>
      </w:r>
    </w:p>
    <w:p w14:paraId="0E1C43F1" w14:textId="77777777" w:rsidR="009303D9" w:rsidRDefault="009303D9" w:rsidP="0004781E">
      <w:pPr>
        <w:pStyle w:val="references"/>
        <w:numPr>
          <w:ilvl w:val="0"/>
          <w:numId w:val="0"/>
        </w:numPr>
        <w:ind w:start="17.70pt" w:hanging="17.70pt"/>
      </w:pPr>
      <w:r>
        <w:t>[1] A. Dave, A. Jindal, L. E. Li, R. Xin, J. E. Gonzalez, and M. Zaharia, “GraphFrames: An Integrated API for Mixing Graph and Relational Queries,” 2016.</w:t>
      </w:r>
    </w:p>
    <w:p w14:paraId="6D6728C6" w14:textId="77777777" w:rsidR="009303D9" w:rsidRDefault="009303D9" w:rsidP="0004781E">
      <w:pPr>
        <w:pStyle w:val="references"/>
        <w:numPr>
          <w:ilvl w:val="0"/>
          <w:numId w:val="0"/>
        </w:numPr>
        <w:ind w:start="17.70pt" w:hanging="17.70pt"/>
      </w:pPr>
      <w:r>
        <w:t>[2] W. Fan, H. van Hövell, and M. Xu, “Adaptive Query Execution: Speeding Up Spark SQL at Runtime,” 2020.</w:t>
      </w:r>
    </w:p>
    <w:p w14:paraId="299424EC" w14:textId="77777777" w:rsidR="009303D9" w:rsidRDefault="009303D9" w:rsidP="0004781E">
      <w:pPr>
        <w:pStyle w:val="references"/>
        <w:numPr>
          <w:ilvl w:val="0"/>
          <w:numId w:val="0"/>
        </w:numPr>
        <w:ind w:start="17.70pt" w:hanging="17.70pt"/>
      </w:pPr>
      <w:r>
        <w:t>[3] F. N. Afrati and J. D. Ullman, “Optimizing Joins in a MapReduce Environment,” in Proc. ACM EDBT, 2010.</w:t>
      </w:r>
    </w:p>
    <w:p w14:paraId="33594847" w14:textId="77777777" w:rsidR="009303D9" w:rsidRDefault="009303D9" w:rsidP="0004781E">
      <w:pPr>
        <w:pStyle w:val="references"/>
        <w:numPr>
          <w:ilvl w:val="0"/>
          <w:numId w:val="0"/>
        </w:numPr>
        <w:ind w:start="17.70pt" w:hanging="17.70pt"/>
      </w:pPr>
      <w:r>
        <w:t>[4] F. N. Afrati and J. D. Ullman, “Optimizing Multiway Joins in a Map-Reduce Environment,” IEEE Trans. Knowl. Data Eng., 2011.</w:t>
      </w:r>
    </w:p>
    <w:p w14:paraId="03369DC5" w14:textId="77777777" w:rsidR="009303D9" w:rsidRDefault="009303D9" w:rsidP="0004781E">
      <w:pPr>
        <w:pStyle w:val="references"/>
        <w:numPr>
          <w:ilvl w:val="0"/>
          <w:numId w:val="0"/>
        </w:numPr>
        <w:ind w:start="17.70pt" w:hanging="17.70pt"/>
      </w:pPr>
      <w:r>
        <w:t>[5] F. N. Afrati, N. Stasinopoulos, J. D. Ullman, and A. Vasilakopoulos, “SharesSkew: An Algorithm to Handle Skew for Joins in MapReduce,” arXiv, 2018.</w:t>
      </w:r>
    </w:p>
    <w:p w14:paraId="614F371A" w14:textId="77777777" w:rsidR="009303D9" w:rsidRDefault="009303D9" w:rsidP="0004781E">
      <w:pPr>
        <w:pStyle w:val="references"/>
        <w:numPr>
          <w:ilvl w:val="0"/>
          <w:numId w:val="0"/>
        </w:numPr>
        <w:ind w:start="17.70pt" w:hanging="17.70pt"/>
      </w:pPr>
      <w:r>
        <w:t>[6] D. J. DeWitt, J. F. Naughton, and J. S. Paul, “An Effective Algorithm for Parallelizing Sort-Merge Joins in the Presence of Data Skew,” 1998.</w:t>
      </w:r>
    </w:p>
    <w:p w14:paraId="3701C48D" w14:textId="77777777" w:rsidR="009303D9" w:rsidRDefault="009303D9" w:rsidP="0004781E">
      <w:pPr>
        <w:pStyle w:val="references"/>
        <w:numPr>
          <w:ilvl w:val="0"/>
          <w:numId w:val="0"/>
        </w:numPr>
        <w:ind w:start="17.70pt" w:hanging="17.70pt"/>
      </w:pPr>
      <w:r>
        <w:t>[7] P. Beame, P. Koutris, and D. Suciu, “Skew in Parallel Query Processing,” in Proc. ACM PODS, 2014.</w:t>
      </w:r>
    </w:p>
    <w:p w14:paraId="59DE397A" w14:textId="77777777" w:rsidR="009303D9" w:rsidRDefault="009303D9" w:rsidP="0004781E">
      <w:pPr>
        <w:pStyle w:val="references"/>
        <w:numPr>
          <w:ilvl w:val="0"/>
          <w:numId w:val="0"/>
        </w:numPr>
        <w:ind w:start="17.70pt" w:hanging="17.70pt"/>
      </w:pPr>
      <w:r>
        <w:t>[8] M. Hua, C.-T. Lo, and C.-H. Young, “Considering Data Skew Factor in Multi-way Join Query Optimization for Parallel Execution,” 1993.</w:t>
      </w:r>
    </w:p>
    <w:p w14:paraId="3D4FD882" w14:textId="77777777" w:rsidR="009303D9" w:rsidRDefault="009303D9" w:rsidP="0004781E">
      <w:pPr>
        <w:pStyle w:val="references"/>
        <w:numPr>
          <w:ilvl w:val="0"/>
          <w:numId w:val="0"/>
        </w:numPr>
        <w:ind w:start="17.70pt" w:hanging="17.70pt"/>
      </w:pPr>
      <w:r>
        <w:t>[9] A. Metwally, “Scaling and Load-Balancing Equi-Joins,” 2022.</w:t>
      </w:r>
    </w:p>
    <w:p w14:paraId="3B31CF3D" w14:textId="77777777" w:rsidR="009303D9" w:rsidRDefault="009303D9" w:rsidP="0004781E">
      <w:pPr>
        <w:pStyle w:val="references"/>
        <w:numPr>
          <w:ilvl w:val="0"/>
          <w:numId w:val="0"/>
        </w:numPr>
        <w:ind w:start="17.70pt" w:hanging="17.70pt"/>
      </w:pPr>
      <w:r>
        <w:t>[10] J. E. Gonzalez, Y. Low, H. Gu, D. Bickson, and C. Guestrin, “PowerGraph: Distributed Graph-Parallel Computation on Natural Graphs,” in Proc. USENIX OSDI, 2012.</w:t>
      </w:r>
    </w:p>
    <w:p w14:paraId="00E8331A" w14:textId="77777777" w:rsidR="009303D9" w:rsidRDefault="009303D9" w:rsidP="0004781E">
      <w:pPr>
        <w:pStyle w:val="references"/>
        <w:numPr>
          <w:ilvl w:val="0"/>
          <w:numId w:val="0"/>
        </w:numPr>
        <w:ind w:start="17.70pt" w:hanging="17.70pt"/>
      </w:pPr>
      <w:r>
        <w:t>[11] C. Xie, L. Yan, W.-J. Li, and Z. Zhang, “Distributed Power-law Graph Computing: Theoretical and Empirical Analysis,” in Proc. NeurIPS, 2014.</w:t>
      </w:r>
    </w:p>
    <w:p w14:paraId="66FD1B0C" w14:textId="77777777" w:rsidR="009303D9" w:rsidRDefault="009303D9" w:rsidP="0004781E">
      <w:pPr>
        <w:pStyle w:val="references"/>
        <w:numPr>
          <w:ilvl w:val="0"/>
          <w:numId w:val="0"/>
        </w:numPr>
        <w:ind w:start="17.70pt" w:hanging="17.70pt"/>
      </w:pPr>
      <w:r>
        <w:t>[12] T. Shi, M. Zhai, Y. Xu, and J. Zhai, “GraphPi: High Performance Graph Pattern Matching through Effective Redundancy Elimination,” 2020.</w:t>
      </w:r>
    </w:p>
    <w:p w14:paraId="17039AD1" w14:textId="77777777" w:rsidR="009303D9" w:rsidRDefault="009303D9" w:rsidP="0004781E">
      <w:pPr>
        <w:pStyle w:val="references"/>
        <w:numPr>
          <w:ilvl w:val="0"/>
          <w:numId w:val="0"/>
        </w:numPr>
        <w:ind w:start="17.70pt" w:hanging="17.70pt"/>
      </w:pPr>
      <w:r>
        <w:t>[13] T. Shi et al., “Dryadic: Flexible and Fast Graph Pattern Matching at Scale,” in Proc. PACT, 2021.</w:t>
      </w:r>
    </w:p>
    <w:p w14:paraId="005701BF" w14:textId="77777777" w:rsidR="009303D9" w:rsidRDefault="009303D9" w:rsidP="0004781E">
      <w:pPr>
        <w:pStyle w:val="references"/>
        <w:numPr>
          <w:ilvl w:val="0"/>
          <w:numId w:val="0"/>
        </w:numPr>
        <w:ind w:start="17.70pt" w:hanging="17.70pt"/>
      </w:pPr>
      <w:r>
        <w:t>[14] L. Lai et al., “GLogS: Interactive Graph Pattern Matching Query at Large Scale,” in Proc. USENIX ATC, 2023.</w:t>
      </w:r>
    </w:p>
    <w:p w14:paraId="24EAAA3F" w14:textId="77777777" w:rsidR="009303D9" w:rsidRDefault="009303D9" w:rsidP="0004781E">
      <w:pPr>
        <w:pStyle w:val="references"/>
        <w:numPr>
          <w:ilvl w:val="0"/>
          <w:numId w:val="0"/>
        </w:numPr>
        <w:ind w:start="17.70pt" w:hanging="17.70pt"/>
      </w:pPr>
      <w:r>
        <w:t>[15] R. Mayer and H.-A. Jacobsen, “Hybrid Edge Partitioner: Partitioning Large Power-Law Graphs under Memory Constraints,” 2021.</w:t>
      </w:r>
    </w:p>
    <w:p w14:paraId="5991ECA8"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30D2FB" w14:textId="77777777" w:rsidR="009303D9" w:rsidRDefault="003B2B40" w:rsidP="005B520E">
      <w:r>
        <w:rPr>
          <w:noProof/>
        </w:rPr>
        <w:lastRenderedPageBreak/>
        <w:drawing>
          <wp:anchor distT="0" distB="0" distL="114300" distR="114300" simplePos="0" relativeHeight="251657728" behindDoc="1" locked="0" layoutInCell="1" allowOverlap="1" wp14:anchorId="421ABAE1" wp14:editId="16801F76">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BB30659"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0E075C0A"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5F3824" w14:textId="77777777" w:rsidR="007E0E68" w:rsidRDefault="007E0E68" w:rsidP="001A3B3D">
      <w:r>
        <w:separator/>
      </w:r>
    </w:p>
  </w:endnote>
  <w:endnote w:type="continuationSeparator" w:id="0">
    <w:p w14:paraId="7BCA4FFB" w14:textId="77777777" w:rsidR="007E0E68" w:rsidRDefault="007E0E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715C4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6067B07" w14:textId="77777777" w:rsidR="007E0E68" w:rsidRDefault="007E0E68" w:rsidP="001A3B3D">
      <w:r>
        <w:separator/>
      </w:r>
    </w:p>
  </w:footnote>
  <w:footnote w:type="continuationSeparator" w:id="0">
    <w:p w14:paraId="2848A13E" w14:textId="77777777" w:rsidR="007E0E68" w:rsidRDefault="007E0E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46FF3"/>
    <w:rsid w:val="00354FCF"/>
    <w:rsid w:val="003A19E2"/>
    <w:rsid w:val="003B2B40"/>
    <w:rsid w:val="003B4E04"/>
    <w:rsid w:val="003F3062"/>
    <w:rsid w:val="003F5A08"/>
    <w:rsid w:val="00420716"/>
    <w:rsid w:val="004325FB"/>
    <w:rsid w:val="004432BA"/>
    <w:rsid w:val="0044407E"/>
    <w:rsid w:val="00447BB9"/>
    <w:rsid w:val="0046031D"/>
    <w:rsid w:val="00473AC9"/>
    <w:rsid w:val="004D72B5"/>
    <w:rsid w:val="004D7316"/>
    <w:rsid w:val="005019EF"/>
    <w:rsid w:val="00551B7F"/>
    <w:rsid w:val="0056610F"/>
    <w:rsid w:val="00575BCA"/>
    <w:rsid w:val="005B0344"/>
    <w:rsid w:val="005B520E"/>
    <w:rsid w:val="005E2800"/>
    <w:rsid w:val="00605825"/>
    <w:rsid w:val="00635FC2"/>
    <w:rsid w:val="00645D22"/>
    <w:rsid w:val="00651A08"/>
    <w:rsid w:val="00654204"/>
    <w:rsid w:val="00670434"/>
    <w:rsid w:val="006A5D82"/>
    <w:rsid w:val="006B6B66"/>
    <w:rsid w:val="006F6D3D"/>
    <w:rsid w:val="00715BEA"/>
    <w:rsid w:val="00723E20"/>
    <w:rsid w:val="00740EEA"/>
    <w:rsid w:val="00794804"/>
    <w:rsid w:val="007B33F1"/>
    <w:rsid w:val="007B6DDA"/>
    <w:rsid w:val="007C0308"/>
    <w:rsid w:val="007C2FF2"/>
    <w:rsid w:val="007D6232"/>
    <w:rsid w:val="007E0E68"/>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94B6F"/>
    <w:rsid w:val="00CA4392"/>
    <w:rsid w:val="00CC393F"/>
    <w:rsid w:val="00CE649C"/>
    <w:rsid w:val="00D15CA2"/>
    <w:rsid w:val="00D2176E"/>
    <w:rsid w:val="00D632BE"/>
    <w:rsid w:val="00D72D06"/>
    <w:rsid w:val="00D7522C"/>
    <w:rsid w:val="00D7536F"/>
    <w:rsid w:val="00D76668"/>
    <w:rsid w:val="00DC6C0B"/>
    <w:rsid w:val="00E07383"/>
    <w:rsid w:val="00E165BC"/>
    <w:rsid w:val="00E61E12"/>
    <w:rsid w:val="00E7596C"/>
    <w:rsid w:val="00E878F2"/>
    <w:rsid w:val="00ED0149"/>
    <w:rsid w:val="00EF7DE3"/>
    <w:rsid w:val="00F03103"/>
    <w:rsid w:val="00F21360"/>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9D55A8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23E20"/>
    <w:rPr>
      <w:color w:val="0563C1" w:themeColor="hyperlink"/>
      <w:u w:val="single"/>
    </w:rPr>
  </w:style>
  <w:style w:type="character" w:styleId="UnresolvedMention">
    <w:name w:val="Unresolved Mention"/>
    <w:basedOn w:val="DefaultParagraphFont"/>
    <w:uiPriority w:val="99"/>
    <w:semiHidden/>
    <w:unhideWhenUsed/>
    <w:rsid w:val="00723E2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harshil.ra24@gmail.com"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rayirthmisra25@gmail.com" TargetMode="External"/><Relationship Id="rId5" Type="http://purl.oclc.org/ooxml/officeDocument/relationships/webSettings" Target="webSettings.xml"/><Relationship Id="rId10" Type="http://purl.oclc.org/ooxml/officeDocument/relationships/hyperlink" Target="mailto:lubdhakmandal@gmail.com" TargetMode="External"/><Relationship Id="rId4" Type="http://purl.oclc.org/ooxml/officeDocument/relationships/settings" Target="settings.xml"/><Relationship Id="rId9" Type="http://purl.oclc.org/ooxml/officeDocument/relationships/hyperlink" Target="mailto:Samarthperiwal07@gmail.com"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TotalTime>
  <Pages>5</Pages>
  <Words>3417</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Rayirth Misra</cp:lastModifiedBy>
  <cp:revision>8</cp:revision>
  <dcterms:created xsi:type="dcterms:W3CDTF">2024-07-16T13:42:00Z</dcterms:created>
  <dcterms:modified xsi:type="dcterms:W3CDTF">2026-08-27T09:39:00Z</dcterms:modified>
</cp:coreProperties>
</file>