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matters:</w:t>
      </w:r>
      <w:r>
        <w:t xml:space="preserve"> </w:t>
      </w: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2023-09-13</w:t>
      </w:r>
    </w:p>
    <w:p>
      <w:pPr>
        <w:pStyle w:val="Abstract"/>
      </w:pPr>
      <w:r>
        <w:t xml:space="preserve">Abstract:</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variation</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interacting</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I</w:t>
      </w:r>
      <w:r>
        <w:t xml:space="preserve"> </w:t>
      </w:r>
      <w:r>
        <w:t xml:space="preserve">propose</w:t>
      </w:r>
      <w:r>
        <w:t xml:space="preserve"> </w:t>
      </w:r>
      <w:r>
        <w:t xml:space="preserve">the</w:t>
      </w:r>
      <w:r>
        <w:t xml:space="preserve"> </w:t>
      </w:r>
      <w:r>
        <w:t xml:space="preserve">following</w:t>
      </w:r>
      <w:r>
        <w:t xml:space="preserve"> </w:t>
      </w:r>
      <w:r>
        <w:t xml:space="preserve">three</w:t>
      </w:r>
      <w:r>
        <w:t xml:space="preserve"> </w:t>
      </w:r>
      <w:r>
        <w:t xml:space="preserve">ontologically</w:t>
      </w:r>
      <w:r>
        <w:t xml:space="preserve"> </w:t>
      </w:r>
      <w:r>
        <w:t xml:space="preserve">and</w:t>
      </w:r>
      <w:r>
        <w:t xml:space="preserve"> </w:t>
      </w:r>
      <w:r>
        <w:t xml:space="preserve">epistemologically</w:t>
      </w:r>
      <w:r>
        <w:t xml:space="preserve"> </w:t>
      </w:r>
      <w:r>
        <w:t xml:space="preserve">based</w:t>
      </w:r>
      <w:r>
        <w:t xml:space="preserve"> </w:t>
      </w:r>
      <w:r>
        <w:t xml:space="preserve">principles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acknowledging</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in</w:t>
      </w:r>
      <w:r>
        <w:t xml:space="preserve"> </w:t>
      </w:r>
      <w:r>
        <w:t xml:space="preserve">the</w:t>
      </w:r>
      <w:r>
        <w:t xml:space="preserve"> </w:t>
      </w:r>
      <w:r>
        <w:t xml:space="preserve">trade-off</w:t>
      </w:r>
      <w:r>
        <w:t xml:space="preserve"> </w:t>
      </w:r>
      <w:r>
        <w:t xml:space="preserve">of</w:t>
      </w:r>
      <w:r>
        <w:t xml:space="preserve"> </w:t>
      </w:r>
      <w:r>
        <w:t xml:space="preserve">causality</w:t>
      </w:r>
      <w:r>
        <w:t xml:space="preserve"> </w:t>
      </w:r>
      <w:r>
        <w:t xml:space="preserve">and</w:t>
      </w:r>
      <w:r>
        <w:t xml:space="preserve"> </w:t>
      </w:r>
      <w:r>
        <w:t xml:space="preserve">generalizability;</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normalizes</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Keywords:</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Adopting the principle of Occam’s razor</w:t>
      </w:r>
      <w:r>
        <w:t xml:space="preserve"> </w:t>
      </w:r>
      <w:r>
        <w:t xml:space="preserve">(e.g.,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w:t>
      </w:r>
      <w:r>
        <w:t xml:space="preserve"> </w:t>
      </w:r>
      <w:r>
        <w:t xml:space="preserve">(</w:t>
      </w:r>
      <w:hyperlink w:anchor="ref-armstrong2018">
        <w:r>
          <w:rPr>
            <w:rStyle w:val="Hyperlink"/>
          </w:rPr>
          <w:t xml:space="preserve">Armstrong &amp; Mindermann, 2018</w:t>
        </w:r>
      </w:hyperlink>
      <w:r>
        <w:t xml:space="preserve">)</w:t>
      </w:r>
      <w:r>
        <w:t xml:space="preserve"> </w:t>
      </w:r>
      <w:r>
        <w:t xml:space="preserve">in tool design and use, and the two conditions described here provide a better approximation of past humans displaying extensive cultural variation as opposed to the assumption of omniscient</w:t>
      </w:r>
      <w:r>
        <w:t xml:space="preserve"> </w:t>
      </w:r>
      <w:r>
        <w:rPr>
          <w:iCs/>
          <w:i/>
        </w:rPr>
        <w:t xml:space="preserve">Homo economicus</w:t>
      </w:r>
      <w:r>
        <w:t xml:space="preserve"> </w:t>
      </w:r>
      <w:r>
        <w:t xml:space="preserve">for most anthropologists</w:t>
      </w:r>
      <w:r>
        <w:t xml:space="preserve"> </w:t>
      </w:r>
      <w:r>
        <w:t xml:space="preserve">(</w:t>
      </w:r>
      <w:hyperlink w:anchor="ref-henrichSearchHomoEconomicus2001">
        <w:r>
          <w:rPr>
            <w:rStyle w:val="Hyperlink"/>
          </w:rPr>
          <w:t xml:space="preserve">Henrich et al., 2001</w:t>
        </w:r>
      </w:hyperlink>
      <w:r>
        <w:t xml:space="preserve">)</w:t>
      </w:r>
      <w:r>
        <w:t xml:space="preserve">. In the evolution of technology, it is rather common that opaque causal perception and its resulting tendency of over-imitation</w:t>
      </w:r>
      <w:r>
        <w:t xml:space="preserve"> </w:t>
      </w:r>
      <w:r>
        <w:t xml:space="preserve">(e.g., Sylvia’s Recipe,</w:t>
      </w:r>
      <w:r>
        <w:t xml:space="preserve"> </w:t>
      </w:r>
      <w:hyperlink w:anchor="ref-gergely2006">
        <w:r>
          <w:rPr>
            <w:rStyle w:val="Hyperlink"/>
          </w:rPr>
          <w:t xml:space="preserve">Gergely &amp; Csibra, 2006</w:t>
        </w:r>
      </w:hyperlink>
      <w:r>
        <w:t xml:space="preserve">)</w:t>
      </w:r>
      <w:r>
        <w:t xml:space="preserve"> </w:t>
      </w:r>
      <w:r>
        <w:t xml:space="preserve">together with path dependence</w:t>
      </w:r>
      <w:r>
        <w:t xml:space="preserve"> </w:t>
      </w:r>
      <w:r>
        <w:t xml:space="preserve">(e.g., QUERTY keyboard design,</w:t>
      </w:r>
      <w:r>
        <w:t xml:space="preserve"> </w:t>
      </w:r>
      <w:hyperlink w:anchor="ref-kafaee2022">
        <w:r>
          <w:rPr>
            <w:rStyle w:val="Hyperlink"/>
          </w:rPr>
          <w:t xml:space="preserve">Kafaee et al., 2022</w:t>
        </w:r>
      </w:hyperlink>
      <w:r>
        <w:t xml:space="preserve">)</w:t>
      </w:r>
      <w:r>
        <w:t xml:space="preserve"> </w:t>
      </w:r>
      <w:r>
        <w:t xml:space="preserve">can lead to the widespread and long-lasting reproduction of technological solutions that are neither optimal in terms of functional efficiency nor minimal in terms of manufacture complexity.</w:t>
      </w:r>
    </w:p>
    <w:p>
      <w:pPr>
        <w:pStyle w:val="BodyText"/>
      </w:pPr>
      <w:r>
        <w:t xml:space="preserve">Built upon the</w:t>
      </w:r>
      <w:r>
        <w:t xml:space="preserve"> </w:t>
      </w:r>
      <w:r>
        <w:rPr>
          <w:iCs/>
          <w:i/>
        </w:rPr>
        <w:t xml:space="preserve">Homo economicus</w:t>
      </w:r>
      <w:r>
        <w:t xml:space="preserve"> </w:t>
      </w:r>
      <w:r>
        <w:t xml:space="preserve">critique and early works in behavioral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variation in experimental replicas (product) and their associated behavioral channels (process) as well as sensory experiences (perception) by experiments in diverse contexts and</w:t>
      </w:r>
      <w:r>
        <w:t xml:space="preserve"> </w:t>
      </w:r>
      <w:r>
        <w:rPr>
          <w:bCs/>
          <w:b/>
        </w:rPr>
        <w:t xml:space="preserve">b)</w:t>
      </w:r>
      <w:r>
        <w:t xml:space="preserve"> </w:t>
      </w:r>
      <w:r>
        <w:t xml:space="preserve">better identify the complex interacting relationships across these three levels of variations in real-world conditions. To accomplish these two objectives, I advocate the following three principles as integral components of the Triple P framework. Ontologically speaking, it requires 1) acknowledging the contribution and limitations of actualistic experiments in the trade-off of causality and generalizability and 2)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w:t>
      </w:r>
      <w:r>
        <w:t xml:space="preserve"> </w:t>
      </w:r>
      <w:r>
        <w:t xml:space="preserve">(</w:t>
      </w:r>
      <w:hyperlink w:anchor="ref-antón2017">
        <w:r>
          <w:rPr>
            <w:rStyle w:val="Hyperlink"/>
          </w:rPr>
          <w:t xml:space="preserve">Antón &amp; Kuzawa, 2017</w:t>
        </w:r>
      </w:hyperlink>
      <w:r>
        <w:t xml:space="preserve">)</w:t>
      </w:r>
      <w:r>
        <w:t xml:space="preserve"> </w:t>
      </w:r>
      <w:r>
        <w:t xml:space="preserve">to cognitive science</w:t>
      </w:r>
      <w:r>
        <w:t xml:space="preserve"> </w:t>
      </w:r>
      <w:r>
        <w:t xml:space="preserve">(</w:t>
      </w:r>
      <w:hyperlink w:anchor="ref-barrett2020">
        <w:r>
          <w:rPr>
            <w:rStyle w:val="Hyperlink"/>
          </w:rPr>
          <w:t xml:space="preserve">Barrett, 2020</w:t>
        </w:r>
      </w:hyperlink>
      <w:r>
        <w:t xml:space="preserve">)</w:t>
      </w:r>
      <w:r>
        <w:t xml:space="preserve">, instead of treating the optimization-based research agenda as a panacea. Epistemologically speaking, the Triple P framework 3) adopts a workflow that normalizes the collection and curation of ethological and ethnographic data in experimental projects. There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artifacts to clarify its meaning and demonstrate the necessity and potential of this framework.</w:t>
      </w:r>
    </w:p>
    <w:bookmarkEnd w:id="22"/>
    <w:bookmarkStart w:id="23" w:name="what-good-is-actualistic-experimentation"/>
    <w:p>
      <w:pPr>
        <w:pStyle w:val="Heading1"/>
      </w:pPr>
      <w:r>
        <w:t xml:space="preserve">What good is actualistic experimentation?</w:t>
      </w:r>
    </w:p>
    <w:p>
      <w:pPr>
        <w:pStyle w:val="FirstParagraph"/>
      </w:pPr>
      <w:r>
        <w:t xml:space="preserve">The trade-off between causality (aka</w:t>
      </w:r>
      <w:r>
        <w:t xml:space="preserve"> </w:t>
      </w:r>
      <w:r>
        <w:t xml:space="preserve">“</w:t>
      </w:r>
      <w:r>
        <w:t xml:space="preserve">internal validity</w:t>
      </w:r>
      <w:r>
        <w:t xml:space="preserve">”</w:t>
      </w:r>
      <w:r>
        <w:t xml:space="preserve">) and generalizability (aka</w:t>
      </w:r>
      <w:r>
        <w:t xml:space="preserve"> </w:t>
      </w:r>
      <w:r>
        <w:t xml:space="preserve">“</w:t>
      </w:r>
      <w:r>
        <w:t xml:space="preserve">external validity</w:t>
      </w:r>
      <w:r>
        <w:t xml:space="preserve">”</w:t>
      </w:r>
      <w:r>
        <w:t xml:space="preserve">) forms a central issue in experimental design across different disciplines</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In fields known for their development of rigorous and well-controlled experimental methods such as cognitive psychology and neuroscience, researchers have started to use naturalistic stimuli more frequently and advocate a paradigm shift to semi-controlled experiments</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In contrast, the past decades have witnessed experimental archaeology’s growing research interests focusing on the causal mechanism at the behavioral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artifact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artifact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In addition to the applications of machine knapping, the same problem is also incurred by the introduction of standardized artificial material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in experimental studies focusing on the transmission of lithic technologies</w:t>
      </w:r>
      <w:r>
        <w:t xml:space="preserve"> </w:t>
      </w:r>
      <w:r>
        <w:t xml:space="preserve">(</w:t>
      </w:r>
      <w:hyperlink w:anchor="ref-liu2023">
        <w:r>
          <w:rPr>
            <w:rStyle w:val="Hyperlink"/>
          </w:rPr>
          <w:t xml:space="preserve">Liu et al., 2023</w:t>
        </w:r>
      </w:hyperlink>
      <w:r>
        <w:t xml:space="preserve">)</w:t>
      </w:r>
      <w:r>
        <w:t xml:space="preserve">. In reality, each rock has a different shape and often different physical properties such as inner cracks and inclusions, and this heterogeneity itself represents a critical variable in cultural transmission and skill development</w:t>
      </w:r>
      <w:r>
        <w:t xml:space="preserve"> </w:t>
      </w:r>
      <w:r>
        <w:t xml:space="preserve">(</w:t>
      </w:r>
      <w:hyperlink w:anchor="ref-proffitt2022">
        <w:r>
          <w:rPr>
            <w:rStyle w:val="Hyperlink"/>
          </w:rPr>
          <w:t xml:space="preserve">Proffitt et al., 2022</w:t>
        </w:r>
      </w:hyperlink>
      <w:r>
        <w:t xml:space="preserve">)</w:t>
      </w:r>
      <w:r>
        <w:t xml:space="preserve">. After all, these experimental results can only be as robust as their experimental settings.</w:t>
      </w:r>
    </w:p>
    <w:p>
      <w:pPr>
        <w:pStyle w:val="BodyText"/>
      </w:pPr>
      <w:r>
        <w:t xml:space="preserve">On the other hand, actualistic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actualistic experiments by design. This feature is crucial and cannot be simply replaced by ethnographic records, because many paleolithic technological components do not have analogues in contemporary non-industrial societies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Furthermore, statistical techniques for developing causal inference from observational data, which essentially represent the nature of results from actualistic experiments, have also been greatly boosted in epidemiology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w:t>
      </w:r>
      <w:hyperlink w:anchor="ref-nichols2007">
        <w:r>
          <w:rPr>
            <w:rStyle w:val="Hyperlink"/>
          </w:rPr>
          <w:t xml:space="preserve">Nichols, 2007</w:t>
        </w:r>
      </w:hyperlink>
      <w:r>
        <w:t xml:space="preserve">)</w:t>
      </w:r>
      <w:r>
        <w:t xml:space="preserve">. Lastly, actualistic experiment can serve as a heuristic for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who proposed that the interaction between actualistic and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2004">
        <w:r>
          <w:rPr>
            <w:rStyle w:val="Hyperlink"/>
          </w:rPr>
          <w:t xml:space="preserve">C. Whittaker John, 2004</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This psychological term originally refers to the phenomenon that it is extremely challenging for experts to ignore the information that is held by them but not others, particularly novices</w:t>
      </w:r>
      <w:r>
        <w:t xml:space="preserve"> </w:t>
      </w:r>
      <w:r>
        <w:t xml:space="preserve">(</w:t>
      </w:r>
      <w:hyperlink w:anchor="ref-camerer1989">
        <w:r>
          <w:rPr>
            <w:rStyle w:val="Hyperlink"/>
          </w:rPr>
          <w:t xml:space="preserve">Camerer et al., 1989</w:t>
        </w:r>
      </w:hyperlink>
      <w:r>
        <w:t xml:space="preserve">;</w:t>
      </w:r>
      <w:r>
        <w:t xml:space="preserve"> </w:t>
      </w:r>
      <w:hyperlink w:anchor="ref-hinds1999">
        <w:r>
          <w:rPr>
            <w:rStyle w:val="Hyperlink"/>
          </w:rPr>
          <w:t xml:space="preserve">Hinds, 1999</w:t>
        </w:r>
      </w:hyperlink>
      <w:r>
        <w:t xml:space="preserve">)</w:t>
      </w:r>
      <w:r>
        <w:t xml:space="preserve">,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huge range of technological diversity.</w:t>
      </w:r>
    </w:p>
    <w:p>
      <w:pPr>
        <w:pStyle w:val="BodyText"/>
      </w:pPr>
      <w:r>
        <w:t xml:space="preserve">Modern flintknapping techniques, as a research subject and a scientific method, originated from hobbyists’ individualistic trials of reverse engineering during the 19th century</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reevesflores2010">
        <w:r>
          <w:rPr>
            <w:rStyle w:val="Hyperlink"/>
          </w:rPr>
          <w:t xml:space="preserve">Reeves Flores, 2010</w:t>
        </w:r>
      </w:hyperlink>
      <w:r>
        <w:t xml:space="preserve">;</w:t>
      </w:r>
      <w:r>
        <w:t xml:space="preserve"> </w:t>
      </w:r>
      <w:hyperlink w:anchor="ref-whittaker1994">
        <w:r>
          <w:rPr>
            <w:rStyle w:val="Hyperlink"/>
          </w:rPr>
          <w:t xml:space="preserve">J. C. Whittaker, 1994</w:t>
        </w:r>
      </w:hyperlink>
      <w:r>
        <w:t xml:space="preserve">: 54-61)</w:t>
      </w:r>
      <w:r>
        <w:t xml:space="preserve">.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w:t>
      </w:r>
      <w:r>
        <w:t xml:space="preserve"> </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famous 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variation at its core, the Triple P conceptual framework recognizes that experimental archaeology can greatly benefit from diverse perspectives</w:t>
      </w:r>
      <w:r>
        <w:t xml:space="preserve"> </w:t>
      </w:r>
      <w:r>
        <w:t xml:space="preserve">(</w:t>
      </w:r>
      <w:hyperlink w:anchor="ref-pargeter2023">
        <w:r>
          <w:rPr>
            <w:rStyle w:val="Hyperlink"/>
          </w:rPr>
          <w:t xml:space="preserve">Pargeter et al., 2023</w:t>
        </w:r>
      </w:hyperlink>
      <w:r>
        <w:t xml:space="preserve">: 164)</w:t>
      </w:r>
      <w:r>
        <w:t xml:space="preserve"> </w:t>
      </w:r>
      <w:r>
        <w:t xml:space="preserve">and thereby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2">
        <w:r>
          <w:rPr>
            <w:rStyle w:val="Hyperlink"/>
          </w:rPr>
          <w:t xml:space="preserve">Timbrell, 2022</w:t>
        </w:r>
      </w:hyperlink>
      <w:r>
        <w:t xml:space="preserve">)</w:t>
      </w:r>
      <w:r>
        <w:t xml:space="preserve"> </w:t>
      </w:r>
      <w:r>
        <w:t xml:space="preserve">of stone artifacts. Furthermore, the Triple P framework acknowledges that communities living in specific geographical areas possess unique insights and understanding of their cultural heritage. This emphasis on team efforts and inclusivity allows for a more nuanced understanding of the complexities of raw material procurement</w:t>
      </w:r>
      <w:r>
        <w:t xml:space="preserve"> </w:t>
      </w:r>
      <w:r>
        <w:t xml:space="preserve">(</w:t>
      </w:r>
      <w:hyperlink w:anchor="ref-batalla2016">
        <w:r>
          <w:rPr>
            <w:rStyle w:val="Hyperlink"/>
          </w:rPr>
          <w:t xml:space="preserve">Batalla, 2016</w:t>
        </w:r>
      </w:hyperlink>
      <w:r>
        <w:t xml:space="preserve">)</w:t>
      </w:r>
      <w:r>
        <w:t xml:space="preserve">,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r>
        <w:t xml:space="preserve">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w:t>
      </w:r>
    </w:p>
    <w:bookmarkEnd w:id="24"/>
    <w:bookmarkStart w:id="35" w:name="the-triple-p-framework-in-action"/>
    <w:p>
      <w:pPr>
        <w:pStyle w:val="Heading1"/>
      </w:pPr>
      <w:r>
        <w:t xml:space="preserve">The Triple P framework in action</w:t>
      </w:r>
    </w:p>
    <w:p>
      <w:pPr>
        <w:pStyle w:val="FirstParagraph"/>
      </w:pPr>
      <w:r>
        <w:t xml:space="preserve">As implied in its name, 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intentions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w:t>
      </w:r>
      <w:r>
        <w:t xml:space="preserve"> </w:t>
      </w:r>
      <w:r>
        <w:t xml:space="preserve">(</w:t>
      </w:r>
      <w:hyperlink w:anchor="ref-reynolds1999">
        <w:r>
          <w:rPr>
            <w:rStyle w:val="Hyperlink"/>
          </w:rPr>
          <w:t xml:space="preserve">Reynolds, 1999</w:t>
        </w:r>
      </w:hyperlink>
      <w:r>
        <w:t xml:space="preserve">;</w:t>
      </w:r>
      <w:r>
        <w:t xml:space="preserve"> </w:t>
      </w:r>
      <w:hyperlink w:anchor="ref-stout2023">
        <w:r>
          <w:rPr>
            <w:rStyle w:val="Hyperlink"/>
          </w:rPr>
          <w:t xml:space="preserve">Stout &amp; Hecht, 2023</w:t>
        </w:r>
      </w:hyperlink>
      <w:r>
        <w:t xml:space="preserve">)</w:t>
      </w:r>
      <w:r>
        <w:t xml:space="preserve">. The importance of specifying and documenting the context information of both the experiment as well as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4337"/>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4337"/>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or photos and illustrations, or high-resolution 3D scans of individual artifact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should be always available in the relevant meta-data. Adopting good habits in spreadsheet data organization is also strongly recommended</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systematic behavioral coding methods that are widely used in the study of non-human animal behavior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neglected among archaeologists, the attempts of reconstructing behavioral sequences involved in the manufacture of material remains are not infrequent. One such example is cognigram, which was first systematically developed and applied in the archaeological research by Haidle</w:t>
      </w:r>
      <w:r>
        <w:t xml:space="preserve"> </w:t>
      </w:r>
      <w:r>
        <w:t xml:space="preserve">(</w:t>
      </w:r>
      <w:hyperlink w:anchor="ref-haidleHowThinkSimple2009">
        <w:r>
          <w:rPr>
            <w:rStyle w:val="Hyperlink"/>
          </w:rPr>
          <w:t xml:space="preserve">Haidle, 2009</w:t>
        </w:r>
      </w:hyperlink>
      <w:r>
        <w:t xml:space="preserve">,</w:t>
      </w:r>
      <w:r>
        <w:t xml:space="preserve"> </w:t>
      </w:r>
      <w:hyperlink w:anchor="ref-haidle2010">
        <w:r>
          <w:rPr>
            <w:rStyle w:val="Hyperlink"/>
          </w:rPr>
          <w:t xml:space="preserve">2010</w:t>
        </w:r>
      </w:hyperlink>
      <w:r>
        <w:t xml:space="preserve">,</w:t>
      </w:r>
      <w:r>
        <w:t xml:space="preserve"> </w:t>
      </w:r>
      <w:hyperlink w:anchor="ref-haidle2014">
        <w:r>
          <w:rPr>
            <w:rStyle w:val="Hyperlink"/>
          </w:rPr>
          <w:t xml:space="preserve">2014</w:t>
        </w:r>
      </w:hyperlink>
      <w:r>
        <w:t xml:space="preserve">,</w:t>
      </w:r>
      <w:r>
        <w:t xml:space="preserve"> </w:t>
      </w:r>
      <w:hyperlink w:anchor="ref-haidle2023">
        <w:r>
          <w:rPr>
            <w:rStyle w:val="Hyperlink"/>
          </w:rPr>
          <w:t xml:space="preserve">2023</w:t>
        </w:r>
      </w:hyperlink>
      <w:r>
        <w:t xml:space="preserve">)</w:t>
      </w:r>
      <w:r>
        <w:t xml:space="preserve">. Cognigram is a graphical representation of the reconstructed behavior behind archaeological artifacts in chronological order of appearance</w:t>
      </w:r>
      <w:r>
        <w:t xml:space="preserve"> </w:t>
      </w:r>
      <w:r>
        <w:t xml:space="preserve">(</w:t>
      </w:r>
      <w:hyperlink w:anchor="ref-haidle2014">
        <w:r>
          <w:rPr>
            <w:rStyle w:val="Hyperlink"/>
          </w:rPr>
          <w:t xml:space="preserve">Haidle, 2014</w:t>
        </w:r>
      </w:hyperlink>
      <w:r>
        <w:t xml:space="preserve">)</w:t>
      </w:r>
      <w:r>
        <w:t xml:space="preserve">, which essentially represents an abstracting process of a series of action sequences achieving a similar goal. This approach is a powerful and elegant yet limited by its normative and analytical orientation, meaning it cannot handle variation very well. To some extent, it describes the minimal steps to achieve a goal from the perspective of reverse engineering and assumes clear causal thinking between each step in an idealistic manner. However, this may be biased given that 1) experiments and modeling studies in cognitive science have shown that novices often feature a low planning depth</w:t>
      </w:r>
      <w:r>
        <w:t xml:space="preserve"> </w:t>
      </w:r>
      <w:r>
        <w:t xml:space="preserve">(</w:t>
      </w:r>
      <w:hyperlink w:anchor="ref-vanopheusden2023">
        <w:r>
          <w:rPr>
            <w:rStyle w:val="Hyperlink"/>
          </w:rPr>
          <w:t xml:space="preserve">Opheusden et al., 2023</w:t>
        </w:r>
      </w:hyperlink>
      <w:r>
        <w:t xml:space="preserve">)</w:t>
      </w:r>
      <w:r>
        <w:t xml:space="preserve"> </w:t>
      </w:r>
      <w:r>
        <w:t xml:space="preserve">and 2) ethnographic studies demonstrated that even expert practitioners in traditional societies can have a different set of perception on the causal structure of how certain behaviors will modify the raw materials</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amount videos of toolmaking and conducting systematical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 </w:t>
      </w:r>
      <w:r>
        <w:t xml:space="preserve">or granularity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w:t>
      </w:r>
      <w:hyperlink w:anchor="ref-roux2005">
        <w:r>
          <w:rPr>
            <w:rStyle w:val="Hyperlink"/>
          </w:rPr>
          <w:t xml:space="preserve">Roux &amp; David, 2005</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Bruce Bradley’s handaxe knapping session using the action grammer and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Bruce Bradley’s handaxe knapping session using the action grammer and BORIS software.</w:t>
      </w:r>
    </w:p>
    <w:p>
      <w:pPr>
        <w:pStyle w:val="TableCaption"/>
      </w:pPr>
      <w:r>
        <w:t xml:space="preserve">A modiefied version of the original action grammer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efied version of the original action grammer presented in (Stout et al., 2021)"/>
      </w:tblPr>
      <w:tblGrid>
        <w:gridCol w:w="841"/>
        <w:gridCol w:w="7078"/>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Often occurs during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w:t>
            </w:r>
          </w:p>
        </w:tc>
      </w:tr>
      <w:tr>
        <w:tc>
          <w:tcPr/>
          <w:p>
            <w:pPr>
              <w:pStyle w:val="Compact"/>
              <w:jc w:val="left"/>
            </w:pPr>
            <w:r>
              <w:t xml:space="preserve">Tool Change</w:t>
            </w:r>
          </w:p>
        </w:tc>
        <w:tc>
          <w:tcPr/>
          <w:p>
            <w:pPr>
              <w:pStyle w:val="Compact"/>
              <w:jc w:val="left"/>
            </w:pPr>
            <w:r>
              <w:t xml:space="preserve">Exchange of one percussor for another</w:t>
            </w:r>
          </w:p>
        </w:tc>
      </w:tr>
    </w:tbl>
    <w:bookmarkEnd w:id="32"/>
    <w:bookmarkStart w:id="33" w:name="perception-level-data"/>
    <w:p>
      <w:pPr>
        <w:pStyle w:val="Heading2"/>
      </w:pPr>
      <w:r>
        <w:t xml:space="preserve">Perception-level data</w:t>
      </w:r>
    </w:p>
    <w:p>
      <w:pPr>
        <w:pStyle w:val="FirstParagraph"/>
      </w:pPr>
      <w:r>
        <w:t xml:space="preserve">Ethnographies revolving around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contemporary U.S. hobbyists</w:t>
      </w:r>
      <w:r>
        <w:t xml:space="preserve"> </w:t>
      </w:r>
      <w:r>
        <w:t xml:space="preserve">(</w:t>
      </w:r>
      <w:hyperlink w:anchor="ref-whittaker2004">
        <w:r>
          <w:rPr>
            <w:rStyle w:val="Hyperlink"/>
          </w:rPr>
          <w:t xml:space="preserve">C. Whittaker John, 2004</w:t>
        </w:r>
      </w:hyperlink>
      <w:r>
        <w:t xml:space="preserve">)</w:t>
      </w:r>
      <w:r>
        <w:t xml:space="preserve"> </w:t>
      </w:r>
      <w:r>
        <w:t xml:space="preserve">and knapping practitioners in various non-industrial societies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ethnography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(e.g., intention)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ethnography can capture the subtle nuances of perception, such as sensory experiences, social interactions, and cultural meanings associated with the experimental activities</w:t>
      </w:r>
      <w:r>
        <w:t xml:space="preserve"> </w:t>
      </w:r>
      <w:r>
        <w:t xml:space="preserve">(</w:t>
      </w:r>
      <w:hyperlink w:anchor="ref-gowlland2019">
        <w:r>
          <w:rPr>
            <w:rStyle w:val="Hyperlink"/>
          </w:rPr>
          <w:t xml:space="preserve">Gowlland, 2019</w:t>
        </w:r>
      </w:hyperlink>
      <w:r>
        <w:t xml:space="preserve">)</w:t>
      </w:r>
      <w:r>
        <w:t xml:space="preserve">.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variation data require the building of centralized, open-access, and carefully curated data infrastructure</w:t>
      </w:r>
      <w:r>
        <w:t xml:space="preserve"> </w:t>
      </w:r>
      <w:r>
        <w:t xml:space="preserve">(</w:t>
      </w:r>
      <w:hyperlink w:anchor="ref-marwick2017">
        <w:r>
          <w:rPr>
            <w:rStyle w:val="Hyperlink"/>
          </w:rPr>
          <w:t xml:space="preserve">Marwick et al., 2017</w:t>
        </w:r>
      </w:hyperlink>
      <w:r>
        <w:t xml:space="preserve">)</w:t>
      </w:r>
      <w:r>
        <w:t xml:space="preserve">, which unfortunately still does not exist yet in experimental archaeology. Among the three dimensions of the Tripe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that was originally designed for developmental scientists, as the main data curation platform, where researchers can freely upload video files and related metadata that can connect with different types of data within the same project.</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variation. It is also compatible with many theoretical orientations, ranging from behavioral archaeology (emphasis on video recording of behavioral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would like to thank Dietrich Stout for his helpful comments on earlier drafts of this article. I am also grateful for my collaborators who help me turn this idea into reality: Russell Cutts (Oxford College of Emory University), Nada Khreisheh (The Ancient Technology Centre), Justin Pargeter (New York University), Ron Shimelmitz (University of Haifa), and particularly Mark Moore (University of New England). This study was supported by a research grant from the Leakey Foundation titled</w:t>
      </w:r>
      <w:r>
        <w:t xml:space="preserve"> </w:t>
      </w:r>
      <w:r>
        <w:t xml:space="preserve">“</w:t>
      </w:r>
      <w:r>
        <w:t xml:space="preserve">Inferring skill reproduction from stone artifacts: A middle‐range approach.</w:t>
      </w:r>
      <w:r>
        <w:t xml:space="preserve">”</w:t>
      </w:r>
    </w:p>
    <w:bookmarkEnd w:id="37"/>
    <w:bookmarkStart w:id="188" w:name="references"/>
    <w:p>
      <w:pPr>
        <w:pStyle w:val="Heading1"/>
      </w:pPr>
      <w:r>
        <w:t xml:space="preserve">References</w:t>
      </w:r>
    </w:p>
    <w:bookmarkStart w:id="187" w:name="refs"/>
    <w:bookmarkStart w:id="39" w:name="ref-antón2017"/>
    <w:p>
      <w:pPr>
        <w:pStyle w:val="Bibliography"/>
      </w:pPr>
      <w:r>
        <w:t xml:space="preserve">Antón, S. C., &amp; Kuzawa, C. W. (2017). Early homo, plasticity and the extended evolutionary synthesis.</w:t>
      </w:r>
      <w:r>
        <w:t xml:space="preserve"> </w:t>
      </w:r>
      <w:r>
        <w:rPr>
          <w:iCs/>
          <w:i/>
        </w:rPr>
        <w:t xml:space="preserve">Interface Focus</w:t>
      </w:r>
      <w:r>
        <w:t xml:space="preserve">,</w:t>
      </w:r>
      <w:r>
        <w:t xml:space="preserve"> </w:t>
      </w:r>
      <w:r>
        <w:rPr>
          <w:iCs/>
          <w:i/>
        </w:rPr>
        <w:t xml:space="preserve">7</w:t>
      </w:r>
      <w:r>
        <w:t xml:space="preserve">(5), 20170004.</w:t>
      </w:r>
      <w:r>
        <w:t xml:space="preserve"> </w:t>
      </w:r>
      <w:hyperlink r:id="rId38">
        <w:r>
          <w:rPr>
            <w:rStyle w:val="Hyperlink"/>
          </w:rPr>
          <w:t xml:space="preserve">https://doi.org/10.1098/rsfs.2017.0004</w:t>
        </w:r>
      </w:hyperlink>
    </w:p>
    <w:bookmarkEnd w:id="39"/>
    <w:bookmarkStart w:id="41" w:name="ref-armstrong2018"/>
    <w:p>
      <w:pPr>
        <w:pStyle w:val="Bibliography"/>
      </w:pPr>
      <w:r>
        <w:t xml:space="preserve">Armstrong, S., &amp; Mindermann, S. (2018).</w:t>
      </w:r>
      <w:r>
        <w:t xml:space="preserve"> </w:t>
      </w:r>
      <w:r>
        <w:rPr>
          <w:iCs/>
          <w:i/>
        </w:rPr>
        <w:t xml:space="preserve">Occam’ s razor is insufficient to infer the preferences of irrational agents</w:t>
      </w:r>
      <w:r>
        <w:t xml:space="preserve">.</w:t>
      </w:r>
      <w:r>
        <w:t xml:space="preserve"> </w:t>
      </w:r>
      <w:r>
        <w:rPr>
          <w:iCs/>
          <w:i/>
        </w:rPr>
        <w:t xml:space="preserve">31</w:t>
      </w:r>
      <w:r>
        <w:t xml:space="preserve">.</w:t>
      </w:r>
      <w:r>
        <w:t xml:space="preserve"> </w:t>
      </w:r>
      <w:hyperlink r:id="rId40">
        <w:r>
          <w:rPr>
            <w:rStyle w:val="Hyperlink"/>
          </w:rPr>
          <w:t xml:space="preserve">https://proceedings.neurips.cc/paper/2018/hash/d89a66c7c80a29b1bdbab0f2a1a94af8-Abstract.html</w:t>
        </w:r>
      </w:hyperlink>
    </w:p>
    <w:bookmarkEnd w:id="41"/>
    <w:bookmarkStart w:id="42"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42"/>
    <w:bookmarkStart w:id="44"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3">
        <w:r>
          <w:rPr>
            <w:rStyle w:val="Hyperlink"/>
          </w:rPr>
          <w:t xml:space="preserve">https://doi.org/10.1017/S0959774320000347</w:t>
        </w:r>
      </w:hyperlink>
    </w:p>
    <w:bookmarkEnd w:id="44"/>
    <w:bookmarkStart w:id="46" w:name="ref-barrett2020"/>
    <w:p>
      <w:pPr>
        <w:pStyle w:val="Bibliography"/>
      </w:pPr>
      <w:r>
        <w:t xml:space="preserve">Barrett, H. C. (2020). Towards a Cognitive Science of the Human: Cross-Cultural Approaches and Their Urgency.</w:t>
      </w:r>
      <w:r>
        <w:t xml:space="preserve"> </w:t>
      </w:r>
      <w:r>
        <w:rPr>
          <w:iCs/>
          <w:i/>
        </w:rPr>
        <w:t xml:space="preserve">Trends in Cognitive Sciences</w:t>
      </w:r>
      <w:r>
        <w:t xml:space="preserve">,</w:t>
      </w:r>
      <w:r>
        <w:t xml:space="preserve"> </w:t>
      </w:r>
      <w:r>
        <w:rPr>
          <w:iCs/>
          <w:i/>
        </w:rPr>
        <w:t xml:space="preserve">24</w:t>
      </w:r>
      <w:r>
        <w:t xml:space="preserve">(8), 620–638.</w:t>
      </w:r>
      <w:r>
        <w:t xml:space="preserve"> </w:t>
      </w:r>
      <w:hyperlink r:id="rId45">
        <w:r>
          <w:rPr>
            <w:rStyle w:val="Hyperlink"/>
          </w:rPr>
          <w:t xml:space="preserve">https://doi.org/10.1016/j.tics.2020.05.007</w:t>
        </w:r>
      </w:hyperlink>
    </w:p>
    <w:bookmarkEnd w:id="46"/>
    <w:bookmarkStart w:id="48"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7">
        <w:r>
          <w:rPr>
            <w:rStyle w:val="Hyperlink"/>
          </w:rPr>
          <w:t xml:space="preserve">https://doi.org/10.2218/jls.v3i1.1522</w:t>
        </w:r>
      </w:hyperlink>
    </w:p>
    <w:bookmarkEnd w:id="48"/>
    <w:bookmarkStart w:id="50"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49">
        <w:r>
          <w:rPr>
            <w:rStyle w:val="Hyperlink"/>
          </w:rPr>
          <w:t xml:space="preserve">https://doi.org/10.1080/00031305.2017.1375989</w:t>
        </w:r>
      </w:hyperlink>
    </w:p>
    <w:bookmarkEnd w:id="50"/>
    <w:bookmarkStart w:id="52" w:name="ref-camerer1989"/>
    <w:p>
      <w:pPr>
        <w:pStyle w:val="Bibliography"/>
      </w:pPr>
      <w:r>
        <w:t xml:space="preserve">Camerer, C., Loewenstein, G., &amp; Weber, M. (1989). The curse of knowledge in economic settings: An experimental analysis.</w:t>
      </w:r>
      <w:r>
        <w:t xml:space="preserve"> </w:t>
      </w:r>
      <w:r>
        <w:rPr>
          <w:iCs/>
          <w:i/>
        </w:rPr>
        <w:t xml:space="preserve">Journal of Political Economy</w:t>
      </w:r>
      <w:r>
        <w:t xml:space="preserve">,</w:t>
      </w:r>
      <w:r>
        <w:t xml:space="preserve"> </w:t>
      </w:r>
      <w:r>
        <w:rPr>
          <w:iCs/>
          <w:i/>
        </w:rPr>
        <w:t xml:space="preserve">97</w:t>
      </w:r>
      <w:r>
        <w:t xml:space="preserve">(5), 1232–1254.</w:t>
      </w:r>
      <w:r>
        <w:t xml:space="preserve"> </w:t>
      </w:r>
      <w:hyperlink r:id="rId51">
        <w:r>
          <w:rPr>
            <w:rStyle w:val="Hyperlink"/>
          </w:rPr>
          <w:t xml:space="preserve">https://doi.org/10.1086/261651</w:t>
        </w:r>
      </w:hyperlink>
    </w:p>
    <w:bookmarkEnd w:id="52"/>
    <w:bookmarkStart w:id="54"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53">
        <w:r>
          <w:rPr>
            <w:rStyle w:val="Hyperlink"/>
          </w:rPr>
          <w:t xml:space="preserve">https://doi.org/10.5334/dsj-2020-043</w:t>
        </w:r>
      </w:hyperlink>
    </w:p>
    <w:bookmarkEnd w:id="54"/>
    <w:bookmarkStart w:id="55" w:name="ref-coles1979"/>
    <w:p>
      <w:pPr>
        <w:pStyle w:val="Bibliography"/>
      </w:pPr>
      <w:r>
        <w:t xml:space="preserve">Coles, J. M. (1979).</w:t>
      </w:r>
      <w:r>
        <w:t xml:space="preserve"> </w:t>
      </w:r>
      <w:r>
        <w:rPr>
          <w:iCs/>
          <w:i/>
        </w:rPr>
        <w:t xml:space="preserve">Experimental archaeology</w:t>
      </w:r>
      <w:r>
        <w:t xml:space="preserve">. Academic Press.</w:t>
      </w:r>
    </w:p>
    <w:bookmarkEnd w:id="55"/>
    <w:bookmarkStart w:id="56"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6"/>
    <w:bookmarkStart w:id="58"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57">
        <w:r>
          <w:rPr>
            <w:rStyle w:val="Hyperlink"/>
          </w:rPr>
          <w:t xml:space="preserve">https://doi.org/10.1080/01977261.2019.1587255</w:t>
        </w:r>
      </w:hyperlink>
    </w:p>
    <w:bookmarkEnd w:id="58"/>
    <w:bookmarkStart w:id="60"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59">
        <w:r>
          <w:rPr>
            <w:rStyle w:val="Hyperlink"/>
          </w:rPr>
          <w:t xml:space="preserve">https://doi.org/10.2307/j.ctv1c29t27</w:t>
        </w:r>
      </w:hyperlink>
    </w:p>
    <w:bookmarkEnd w:id="60"/>
    <w:bookmarkStart w:id="62"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61">
        <w:r>
          <w:rPr>
            <w:rStyle w:val="Hyperlink"/>
          </w:rPr>
          <w:t xml:space="preserve">https://doi.org/10.1080/00438240701843629</w:t>
        </w:r>
      </w:hyperlink>
    </w:p>
    <w:bookmarkEnd w:id="62"/>
    <w:bookmarkStart w:id="64"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63">
        <w:r>
          <w:rPr>
            <w:rStyle w:val="Hyperlink"/>
          </w:rPr>
          <w:t xml:space="preserve">https://doi.org/10.1007/s10437-020-09404-8</w:t>
        </w:r>
      </w:hyperlink>
    </w:p>
    <w:bookmarkEnd w:id="64"/>
    <w:bookmarkStart w:id="66"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65">
        <w:r>
          <w:rPr>
            <w:rStyle w:val="Hyperlink"/>
          </w:rPr>
          <w:t xml:space="preserve">https://doi.org/10.1080/19442890.2016.1213972</w:t>
        </w:r>
      </w:hyperlink>
    </w:p>
    <w:bookmarkEnd w:id="66"/>
    <w:bookmarkStart w:id="68"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67">
        <w:r>
          <w:rPr>
            <w:rStyle w:val="Hyperlink"/>
          </w:rPr>
          <w:t xml:space="preserve">https://doi.org/10.1146/annurev.an.13.100184.001155</w:t>
        </w:r>
      </w:hyperlink>
    </w:p>
    <w:bookmarkEnd w:id="68"/>
    <w:bookmarkStart w:id="70"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69">
        <w:r>
          <w:rPr>
            <w:rStyle w:val="Hyperlink"/>
          </w:rPr>
          <w:t xml:space="preserve">https://doi.org/10.1016/bs.asb.2018.01.001</w:t>
        </w:r>
      </w:hyperlink>
    </w:p>
    <w:bookmarkEnd w:id="70"/>
    <w:bookmarkStart w:id="72"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71">
        <w:r>
          <w:rPr>
            <w:rStyle w:val="Hyperlink"/>
          </w:rPr>
          <w:t xml:space="preserve">https://doi.org/10.1111/2041-210X.12584</w:t>
        </w:r>
      </w:hyperlink>
    </w:p>
    <w:bookmarkEnd w:id="72"/>
    <w:bookmarkStart w:id="73" w:name="ref-gergely2006"/>
    <w:p>
      <w:pPr>
        <w:pStyle w:val="Bibliography"/>
      </w:pPr>
      <w:r>
        <w:t xml:space="preserve">Gergely, G., &amp; Csibra, G. (2006).</w:t>
      </w:r>
      <w:r>
        <w:t xml:space="preserve"> </w:t>
      </w:r>
      <w:r>
        <w:rPr>
          <w:iCs/>
          <w:i/>
        </w:rPr>
        <w:t xml:space="preserve">Sylvia’s recipe: The role of imitation and pedagogy in the transmission of cultural knowledge</w:t>
      </w:r>
      <w:r>
        <w:t xml:space="preserve"> </w:t>
      </w:r>
      <w:r>
        <w:t xml:space="preserve">(S. C. Levinson &amp; N. J. Enfield, Eds.; pp. 229–255). Berg Publishers.</w:t>
      </w:r>
    </w:p>
    <w:bookmarkEnd w:id="73"/>
    <w:bookmarkStart w:id="75"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74">
        <w:r>
          <w:rPr>
            <w:rStyle w:val="Hyperlink"/>
          </w:rPr>
          <w:t xml:space="preserve">https://doi.org/10.1167/15.12.280</w:t>
        </w:r>
      </w:hyperlink>
    </w:p>
    <w:bookmarkEnd w:id="75"/>
    <w:bookmarkStart w:id="77" w:name="ref-gowlland2019"/>
    <w:p>
      <w:pPr>
        <w:pStyle w:val="Bibliography"/>
      </w:pPr>
      <w:r>
        <w:t xml:space="preserve">Gowlland, G. (2019). The sociality of enskilment.</w:t>
      </w:r>
      <w:r>
        <w:t xml:space="preserve"> </w:t>
      </w:r>
      <w:r>
        <w:rPr>
          <w:iCs/>
          <w:i/>
        </w:rPr>
        <w:t xml:space="preserve">Ethnos</w:t>
      </w:r>
      <w:r>
        <w:t xml:space="preserve">,</w:t>
      </w:r>
      <w:r>
        <w:t xml:space="preserve"> </w:t>
      </w:r>
      <w:r>
        <w:rPr>
          <w:iCs/>
          <w:i/>
        </w:rPr>
        <w:t xml:space="preserve">84</w:t>
      </w:r>
      <w:r>
        <w:t xml:space="preserve">(3), 508–524.</w:t>
      </w:r>
      <w:r>
        <w:t xml:space="preserve"> </w:t>
      </w:r>
      <w:hyperlink r:id="rId76">
        <w:r>
          <w:rPr>
            <w:rStyle w:val="Hyperlink"/>
          </w:rPr>
          <w:t xml:space="preserve">https://doi.org/10.1080/00141844.2018.1455726</w:t>
        </w:r>
      </w:hyperlink>
    </w:p>
    <w:bookmarkEnd w:id="77"/>
    <w:bookmarkStart w:id="78"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78"/>
    <w:bookmarkStart w:id="79" w:name="ref-haidleHowThinkSimple2009"/>
    <w:p>
      <w:pPr>
        <w:pStyle w:val="Bibliography"/>
      </w:pPr>
      <w:r>
        <w:t xml:space="preserve">Haidle, 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79"/>
    <w:bookmarkStart w:id="81" w:name="ref-haidle2010"/>
    <w:p>
      <w:pPr>
        <w:pStyle w:val="Bibliography"/>
      </w:pPr>
      <w:r>
        <w:t xml:space="preserve">Haidle, 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80">
        <w:r>
          <w:rPr>
            <w:rStyle w:val="Hyperlink"/>
          </w:rPr>
          <w:t xml:space="preserve">https://doi.org/10.1086/650295</w:t>
        </w:r>
      </w:hyperlink>
    </w:p>
    <w:bookmarkEnd w:id="81"/>
    <w:bookmarkStart w:id="83" w:name="ref-haidle2014"/>
    <w:p>
      <w:pPr>
        <w:pStyle w:val="Bibliography"/>
      </w:pPr>
      <w:r>
        <w:t xml:space="preserve">Haidle, M. N. (2014). Building a bridge</w:t>
      </w:r>
      <w:r>
        <w:t xml:space="preserve">an archeologist’s perspective on the evolution of causal cognition.</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82">
        <w:r>
          <w:rPr>
            <w:rStyle w:val="Hyperlink"/>
          </w:rPr>
          <w:t xml:space="preserve">https://www.frontiersin.org/articles/10.3389/fpsyg.2014.01472</w:t>
        </w:r>
      </w:hyperlink>
    </w:p>
    <w:bookmarkEnd w:id="83"/>
    <w:bookmarkStart w:id="85" w:name="ref-haidle2023"/>
    <w:p>
      <w:pPr>
        <w:pStyle w:val="Bibliography"/>
      </w:pPr>
      <w:r>
        <w:t xml:space="preserve">Haidle, M. N.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84">
        <w:r>
          <w:rPr>
            <w:rStyle w:val="Hyperlink"/>
          </w:rPr>
          <w:t xml:space="preserve">https://doi.org/10.1093/oxfordhb/9780192895950.013.12</w:t>
        </w:r>
      </w:hyperlink>
    </w:p>
    <w:bookmarkEnd w:id="85"/>
    <w:bookmarkStart w:id="87"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86">
        <w:r>
          <w:rPr>
            <w:rStyle w:val="Hyperlink"/>
          </w:rPr>
          <w:t xml:space="preserve">https://doi.org/10.1016/j.cub.2021.01.096</w:t>
        </w:r>
      </w:hyperlink>
    </w:p>
    <w:bookmarkEnd w:id="87"/>
    <w:bookmarkStart w:id="89"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88">
        <w:r>
          <w:rPr>
            <w:rStyle w:val="Hyperlink"/>
          </w:rPr>
          <w:t xml:space="preserve">https://doi.org/10.1257/aer.91.2.73</w:t>
        </w:r>
      </w:hyperlink>
    </w:p>
    <w:bookmarkEnd w:id="89"/>
    <w:bookmarkStart w:id="90" w:name="ref-hernan2023"/>
    <w:p>
      <w:pPr>
        <w:pStyle w:val="Bibliography"/>
      </w:pPr>
      <w:r>
        <w:t xml:space="preserve">Hernan, M. A., &amp; Robins, J. M. (2023).</w:t>
      </w:r>
      <w:r>
        <w:t xml:space="preserve"> </w:t>
      </w:r>
      <w:r>
        <w:rPr>
          <w:iCs/>
          <w:i/>
        </w:rPr>
        <w:t xml:space="preserve">Causal inference: What if</w:t>
      </w:r>
      <w:r>
        <w:t xml:space="preserve">. CRC Press.</w:t>
      </w:r>
    </w:p>
    <w:bookmarkEnd w:id="90"/>
    <w:bookmarkStart w:id="92"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91">
        <w:r>
          <w:rPr>
            <w:rStyle w:val="Hyperlink"/>
          </w:rPr>
          <w:t xml:space="preserve">https://doi.org/10.1037/1076-898X.5.2.205</w:t>
        </w:r>
      </w:hyperlink>
    </w:p>
    <w:bookmarkEnd w:id="92"/>
    <w:bookmarkStart w:id="94"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93">
        <w:r>
          <w:rPr>
            <w:rStyle w:val="Hyperlink"/>
          </w:rPr>
          <w:t xml:space="preserve">https://doi.org/10.1017/S0959774304230050</w:t>
        </w:r>
      </w:hyperlink>
    </w:p>
    <w:bookmarkEnd w:id="94"/>
    <w:bookmarkStart w:id="95"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95"/>
    <w:bookmarkStart w:id="97"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96">
        <w:r>
          <w:rPr>
            <w:rStyle w:val="Hyperlink"/>
          </w:rPr>
          <w:t xml:space="preserve">https://doi.org/10.1086/202078</w:t>
        </w:r>
      </w:hyperlink>
    </w:p>
    <w:bookmarkEnd w:id="97"/>
    <w:bookmarkStart w:id="99" w:name="ref-kafaee2022"/>
    <w:p>
      <w:pPr>
        <w:pStyle w:val="Bibliography"/>
      </w:pPr>
      <w:r>
        <w:t xml:space="preserve">Kafaee, M., Daviran, E., &amp; Taqavi, M. (2022). The QWERTY keyboard from the perspective of the Collingridge dilemma: lessons for co-construction of human-technology.</w:t>
      </w:r>
      <w:r>
        <w:t xml:space="preserve"> </w:t>
      </w:r>
      <w:r>
        <w:rPr>
          <w:iCs/>
          <w:i/>
        </w:rPr>
        <w:t xml:space="preserve">AI &amp; SOCIETY</w:t>
      </w:r>
      <w:r>
        <w:t xml:space="preserve">.</w:t>
      </w:r>
      <w:r>
        <w:t xml:space="preserve"> </w:t>
      </w:r>
      <w:hyperlink r:id="rId98">
        <w:r>
          <w:rPr>
            <w:rStyle w:val="Hyperlink"/>
          </w:rPr>
          <w:t xml:space="preserve">https://doi.org/10.1007/s00146-022-01573-1</w:t>
        </w:r>
      </w:hyperlink>
    </w:p>
    <w:bookmarkEnd w:id="99"/>
    <w:bookmarkStart w:id="101"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100">
        <w:r>
          <w:rPr>
            <w:rStyle w:val="Hyperlink"/>
          </w:rPr>
          <w:t xml:space="preserve">https://doi.org/10.1007/s10816-022-09586-2</w:t>
        </w:r>
      </w:hyperlink>
    </w:p>
    <w:bookmarkEnd w:id="101"/>
    <w:bookmarkStart w:id="103"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102">
        <w:r>
          <w:rPr>
            <w:rStyle w:val="Hyperlink"/>
          </w:rPr>
          <w:t xml:space="preserve">https://doi.org/10.1007/s10816-017-9351-1</w:t>
        </w:r>
      </w:hyperlink>
    </w:p>
    <w:bookmarkEnd w:id="103"/>
    <w:bookmarkStart w:id="105"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104">
        <w:r>
          <w:rPr>
            <w:rStyle w:val="Hyperlink"/>
          </w:rPr>
          <w:t xml:space="preserve">https://doi.org/10.1016/j.jasrep.2023.103974</w:t>
        </w:r>
      </w:hyperlink>
    </w:p>
    <w:bookmarkEnd w:id="105"/>
    <w:bookmarkStart w:id="107"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106">
        <w:r>
          <w:rPr>
            <w:rStyle w:val="Hyperlink"/>
          </w:rPr>
          <w:t xml:space="preserve">https://doi.org/10.1002/evan.21964</w:t>
        </w:r>
      </w:hyperlink>
    </w:p>
    <w:bookmarkEnd w:id="107"/>
    <w:bookmarkStart w:id="109"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08">
        <w:r>
          <w:rPr>
            <w:rStyle w:val="Hyperlink"/>
          </w:rPr>
          <w:t xml:space="preserve">https://doi.org/10.1038/s41598-017-14322-y</w:t>
        </w:r>
      </w:hyperlink>
    </w:p>
    <w:bookmarkEnd w:id="109"/>
    <w:bookmarkStart w:id="111"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10">
        <w:r>
          <w:rPr>
            <w:rStyle w:val="Hyperlink"/>
          </w:rPr>
          <w:t xml:space="preserve">https://doi.org/10.4207/PA.2014.ART90</w:t>
        </w:r>
      </w:hyperlink>
    </w:p>
    <w:bookmarkEnd w:id="111"/>
    <w:bookmarkStart w:id="112"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12"/>
    <w:bookmarkStart w:id="114"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13">
        <w:r>
          <w:rPr>
            <w:rStyle w:val="Hyperlink"/>
          </w:rPr>
          <w:t xml:space="preserve">https://doi.org/10.1016/j.quascirev.2020.106431</w:t>
        </w:r>
      </w:hyperlink>
    </w:p>
    <w:bookmarkEnd w:id="114"/>
    <w:bookmarkStart w:id="116"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15">
        <w:r>
          <w:rPr>
            <w:rStyle w:val="Hyperlink"/>
          </w:rPr>
          <w:t xml:space="preserve">https://doi.org/10.1080/0043824022000007062</w:t>
        </w:r>
      </w:hyperlink>
    </w:p>
    <w:bookmarkEnd w:id="116"/>
    <w:bookmarkStart w:id="118"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17">
        <w:r>
          <w:rPr>
            <w:rStyle w:val="Hyperlink"/>
          </w:rPr>
          <w:t xml:space="preserve">https://doi.org/10.1371/journal.pone.0273118</w:t>
        </w:r>
      </w:hyperlink>
    </w:p>
    <w:bookmarkEnd w:id="118"/>
    <w:bookmarkStart w:id="120" w:name="ref-marwick2017"/>
    <w:p>
      <w:pPr>
        <w:pStyle w:val="Bibliography"/>
      </w:pPr>
      <w:r>
        <w:t xml:space="preserve">Marwick, B., d’Alpoim Guedes, J., Barton, C. M., Bates, L. A., Baxter, M., Bevan, A., Bollwerk, E. A., Bocinsky, R. K., Brughmans, T., Carter, A. K., Conrad, C., Contreras, D. A., Costa, S., Crema, E. R., Daggett, A., Davies, B., Drake, B. L., Dye, T. S., France, P., … Wren, C. D. (2017). Open science in archaeology.</w:t>
      </w:r>
      <w:r>
        <w:t xml:space="preserve"> </w:t>
      </w:r>
      <w:r>
        <w:rPr>
          <w:iCs/>
          <w:i/>
        </w:rPr>
        <w:t xml:space="preserve">SAA Archaeological Record</w:t>
      </w:r>
      <w:r>
        <w:t xml:space="preserve">,</w:t>
      </w:r>
      <w:r>
        <w:t xml:space="preserve"> </w:t>
      </w:r>
      <w:r>
        <w:rPr>
          <w:iCs/>
          <w:i/>
        </w:rPr>
        <w:t xml:space="preserve">17</w:t>
      </w:r>
      <w:r>
        <w:t xml:space="preserve">(4), 8–14.</w:t>
      </w:r>
      <w:r>
        <w:t xml:space="preserve"> </w:t>
      </w:r>
      <w:hyperlink r:id="rId119">
        <w:r>
          <w:rPr>
            <w:rStyle w:val="Hyperlink"/>
          </w:rPr>
          <w:t xml:space="preserve">http://onlinedigeditions.com/publication/?i=440506</w:t>
        </w:r>
      </w:hyperlink>
    </w:p>
    <w:bookmarkEnd w:id="120"/>
    <w:bookmarkStart w:id="122"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21">
        <w:r>
          <w:rPr>
            <w:rStyle w:val="Hyperlink"/>
          </w:rPr>
          <w:t xml:space="preserve">https://doi.org/10.1016/j.neuron.2021.05.021</w:t>
        </w:r>
      </w:hyperlink>
    </w:p>
    <w:bookmarkEnd w:id="122"/>
    <w:bookmarkStart w:id="124"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23">
        <w:r>
          <w:rPr>
            <w:rStyle w:val="Hyperlink"/>
          </w:rPr>
          <w:t xml:space="preserve">https://doi.org/10.1017/S0959774320000190</w:t>
        </w:r>
      </w:hyperlink>
    </w:p>
    <w:bookmarkEnd w:id="124"/>
    <w:bookmarkStart w:id="126"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25">
        <w:r>
          <w:rPr>
            <w:rStyle w:val="Hyperlink"/>
          </w:rPr>
          <w:t xml:space="preserve">https://doi.org/10.1017/S0959774323000070</w:t>
        </w:r>
      </w:hyperlink>
    </w:p>
    <w:bookmarkEnd w:id="126"/>
    <w:bookmarkStart w:id="127" w:name="ref-nami2010"/>
    <w:p>
      <w:pPr>
        <w:pStyle w:val="Bibliography"/>
      </w:pPr>
      <w:r>
        <w:t xml:space="preserve">Nami, H. G. (2010).</w:t>
      </w:r>
      <w:r>
        <w:t xml:space="preserve"> </w:t>
      </w:r>
      <w:r>
        <w:rPr>
          <w:iCs/>
          <w:i/>
        </w:rPr>
        <w:t xml:space="preserve">Theoretical reflections on experimental archaeology and lithic technology: Issues on actualistic stone tools analysis and interpretation</w:t>
      </w:r>
      <w:r>
        <w:t xml:space="preserve"> </w:t>
      </w:r>
      <w:r>
        <w:t xml:space="preserve">(H. G. Nami, Ed.; pp. 91–168). Ediciones de ArqueologÌa Contempor·nea.</w:t>
      </w:r>
    </w:p>
    <w:bookmarkEnd w:id="127"/>
    <w:bookmarkStart w:id="129"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28">
        <w:r>
          <w:rPr>
            <w:rStyle w:val="Hyperlink"/>
          </w:rPr>
          <w:t xml:space="preserve">https://doi.org/10.1016/j.neuroimage.2020.117254</w:t>
        </w:r>
      </w:hyperlink>
    </w:p>
    <w:bookmarkEnd w:id="129"/>
    <w:bookmarkStart w:id="131" w:name="ref-nichols2007"/>
    <w:p>
      <w:pPr>
        <w:pStyle w:val="Bibliography"/>
      </w:pPr>
      <w:r>
        <w:t xml:space="preserve">Nichols, A. (2007). Causal Inference with Observational Data.</w:t>
      </w:r>
      <w:r>
        <w:t xml:space="preserve"> </w:t>
      </w:r>
      <w:r>
        <w:rPr>
          <w:iCs/>
          <w:i/>
        </w:rPr>
        <w:t xml:space="preserve">The Stata Journal</w:t>
      </w:r>
      <w:r>
        <w:t xml:space="preserve">,</w:t>
      </w:r>
      <w:r>
        <w:t xml:space="preserve"> </w:t>
      </w:r>
      <w:r>
        <w:rPr>
          <w:iCs/>
          <w:i/>
        </w:rPr>
        <w:t xml:space="preserve">7</w:t>
      </w:r>
      <w:r>
        <w:t xml:space="preserve">(4), 507–541.</w:t>
      </w:r>
      <w:r>
        <w:t xml:space="preserve"> </w:t>
      </w:r>
      <w:hyperlink r:id="rId130">
        <w:r>
          <w:rPr>
            <w:rStyle w:val="Hyperlink"/>
          </w:rPr>
          <w:t xml:space="preserve">https://doi.org/10.1177/1536867X0800700403</w:t>
        </w:r>
      </w:hyperlink>
    </w:p>
    <w:bookmarkEnd w:id="131"/>
    <w:bookmarkStart w:id="133" w:name="ref-vanopheusden2023"/>
    <w:p>
      <w:pPr>
        <w:pStyle w:val="Bibliography"/>
      </w:pPr>
      <w:r>
        <w:t xml:space="preserve">Opheusden, B. van, Kuperwajs, I., Galbiati, G., Bnaya, Z., Li, Y., &amp; Ma, W. J. (2023). Expertise increases planning depth in human gameplay.</w:t>
      </w:r>
      <w:r>
        <w:t xml:space="preserve"> </w:t>
      </w:r>
      <w:r>
        <w:rPr>
          <w:iCs/>
          <w:i/>
        </w:rPr>
        <w:t xml:space="preserve">Nature</w:t>
      </w:r>
      <w:r>
        <w:t xml:space="preserve">, 1–6.</w:t>
      </w:r>
      <w:r>
        <w:t xml:space="preserve"> </w:t>
      </w:r>
      <w:hyperlink r:id="rId132">
        <w:r>
          <w:rPr>
            <w:rStyle w:val="Hyperlink"/>
          </w:rPr>
          <w:t xml:space="preserve">https://doi.org/10.1038/s41586-023-06124-2</w:t>
        </w:r>
      </w:hyperlink>
    </w:p>
    <w:bookmarkEnd w:id="133"/>
    <w:bookmarkStart w:id="135"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34">
        <w:r>
          <w:rPr>
            <w:rStyle w:val="Hyperlink"/>
          </w:rPr>
          <w:t xml:space="preserve">https://www.jstor.org/stable/40025310</w:t>
        </w:r>
      </w:hyperlink>
    </w:p>
    <w:bookmarkEnd w:id="135"/>
    <w:bookmarkStart w:id="137"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36">
        <w:r>
          <w:rPr>
            <w:rStyle w:val="Hyperlink"/>
          </w:rPr>
          <w:t xml:space="preserve">https://doi.org/10.1007/s10816-022-09592-4</w:t>
        </w:r>
      </w:hyperlink>
    </w:p>
    <w:bookmarkEnd w:id="137"/>
    <w:bookmarkStart w:id="139"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38">
        <w:r>
          <w:rPr>
            <w:rStyle w:val="Hyperlink"/>
          </w:rPr>
          <w:t xml:space="preserve">https://doi.org/10.1007/s12520-018-0729-0</w:t>
        </w:r>
      </w:hyperlink>
    </w:p>
    <w:bookmarkEnd w:id="139"/>
    <w:bookmarkStart w:id="140"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40"/>
    <w:bookmarkStart w:id="142" w:name="ref-proffitt2022"/>
    <w:p>
      <w:pPr>
        <w:pStyle w:val="Bibliography"/>
      </w:pPr>
      <w:r>
        <w:t xml:space="preserve">Proffitt, T., Bargalló, A., &amp; Torre, I. de la. (2022). The Effect of Raw Material on the Identification of Knapping Skill: a Case Study from Olduvai Gorge, Tanzania.</w:t>
      </w:r>
      <w:r>
        <w:t xml:space="preserve"> </w:t>
      </w:r>
      <w:r>
        <w:rPr>
          <w:iCs/>
          <w:i/>
        </w:rPr>
        <w:t xml:space="preserve">Journal of Archaeological Method and Theory</w:t>
      </w:r>
      <w:r>
        <w:t xml:space="preserve">,</w:t>
      </w:r>
      <w:r>
        <w:t xml:space="preserve"> </w:t>
      </w:r>
      <w:r>
        <w:rPr>
          <w:iCs/>
          <w:i/>
        </w:rPr>
        <w:t xml:space="preserve">29</w:t>
      </w:r>
      <w:r>
        <w:t xml:space="preserve">(1), 50–82.</w:t>
      </w:r>
      <w:r>
        <w:t xml:space="preserve"> </w:t>
      </w:r>
      <w:hyperlink r:id="rId141">
        <w:r>
          <w:rPr>
            <w:rStyle w:val="Hyperlink"/>
          </w:rPr>
          <w:t xml:space="preserve">https://doi.org/10.1007/s10816-021-09511-z</w:t>
        </w:r>
      </w:hyperlink>
    </w:p>
    <w:bookmarkEnd w:id="142"/>
    <w:bookmarkStart w:id="144"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43">
        <w:r>
          <w:rPr>
            <w:rStyle w:val="Hyperlink"/>
          </w:rPr>
          <w:t xml:space="preserve">https://doi.org/10.1002/evan.21823</w:t>
        </w:r>
      </w:hyperlink>
    </w:p>
    <w:bookmarkEnd w:id="144"/>
    <w:bookmarkStart w:id="146"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45">
        <w:r>
          <w:rPr>
            <w:rStyle w:val="Hyperlink"/>
          </w:rPr>
          <w:t xml:space="preserve">https://www.jstor.org/stable/27825902</w:t>
        </w:r>
      </w:hyperlink>
    </w:p>
    <w:bookmarkEnd w:id="146"/>
    <w:bookmarkStart w:id="147" w:name="ref-reevesflores2010"/>
    <w:p>
      <w:pPr>
        <w:pStyle w:val="Bibliography"/>
      </w:pPr>
      <w:r>
        <w:t xml:space="preserve">Reeves Flores, J. (2010).</w:t>
      </w:r>
      <w:r>
        <w:t xml:space="preserve"> </w:t>
      </w:r>
      <w:r>
        <w:rPr>
          <w:iCs/>
          <w:i/>
        </w:rPr>
        <w:t xml:space="preserve">Creating a history of experimental archaeology</w:t>
      </w:r>
      <w:r>
        <w:t xml:space="preserve"> </w:t>
      </w:r>
      <w:r>
        <w:t xml:space="preserve">(D. Millson, Ed.; pp. 29–45). Oxbow Books.</w:t>
      </w:r>
    </w:p>
    <w:bookmarkEnd w:id="147"/>
    <w:bookmarkStart w:id="149"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48">
        <w:r>
          <w:rPr>
            <w:rStyle w:val="Hyperlink"/>
          </w:rPr>
          <w:t xml:space="preserve">https://ore.exeter.ac.uk/repository/handle/10871/9041</w:t>
        </w:r>
      </w:hyperlink>
    </w:p>
    <w:bookmarkEnd w:id="149"/>
    <w:bookmarkStart w:id="150"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pp. 156–162). Oxbow Books.</w:t>
      </w:r>
    </w:p>
    <w:bookmarkEnd w:id="150"/>
    <w:bookmarkStart w:id="152"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51">
        <w:r>
          <w:rPr>
            <w:rStyle w:val="Hyperlink"/>
          </w:rPr>
          <w:t xml:space="preserve">https://www.jstor.org/stable/20616293</w:t>
        </w:r>
      </w:hyperlink>
    </w:p>
    <w:bookmarkEnd w:id="152"/>
    <w:bookmarkStart w:id="154" w:name="ref-roux2005"/>
    <w:p>
      <w:pPr>
        <w:pStyle w:val="Bibliography"/>
      </w:pPr>
      <w:r>
        <w:t xml:space="preserve">Roux, V., &amp; David, É. (2005).</w:t>
      </w:r>
      <w:r>
        <w:t xml:space="preserve"> </w:t>
      </w:r>
      <w:r>
        <w:rPr>
          <w:iCs/>
          <w:i/>
        </w:rPr>
        <w:t xml:space="preserve">Planning abilities as a dynamic perceptual-motor skill: an actualist study of different levels of expertise involved in stone knapping</w:t>
      </w:r>
      <w:r>
        <w:t xml:space="preserve"> </w:t>
      </w:r>
      <w:r>
        <w:t xml:space="preserve">(V. Roux &amp; B. Bril, Eds.; pp. 91–108). McDonald Institute for Archaeological Research.</w:t>
      </w:r>
      <w:r>
        <w:t xml:space="preserve"> </w:t>
      </w:r>
      <w:hyperlink r:id="rId153">
        <w:r>
          <w:rPr>
            <w:rStyle w:val="Hyperlink"/>
          </w:rPr>
          <w:t xml:space="preserve">https://shs.hal.science/halshs-00120262</w:t>
        </w:r>
      </w:hyperlink>
    </w:p>
    <w:bookmarkEnd w:id="154"/>
    <w:bookmarkStart w:id="155"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55"/>
    <w:bookmarkStart w:id="157"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56">
        <w:r>
          <w:rPr>
            <w:rStyle w:val="Hyperlink"/>
          </w:rPr>
          <w:t xml:space="preserve">https://doi.org/10.1016/j.jas.2016.04.013</w:t>
        </w:r>
      </w:hyperlink>
    </w:p>
    <w:bookmarkEnd w:id="157"/>
    <w:bookmarkStart w:id="159"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58">
        <w:r>
          <w:rPr>
            <w:rStyle w:val="Hyperlink"/>
          </w:rPr>
          <w:t xml:space="preserve">https://doi.org/10.5334/jcaa.29</w:t>
        </w:r>
      </w:hyperlink>
    </w:p>
    <w:bookmarkEnd w:id="159"/>
    <w:bookmarkStart w:id="161"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60">
        <w:r>
          <w:rPr>
            <w:rStyle w:val="Hyperlink"/>
          </w:rPr>
          <w:t xml:space="preserve">https://doi.org/10.1177/1745691619856350</w:t>
        </w:r>
      </w:hyperlink>
    </w:p>
    <w:bookmarkEnd w:id="161"/>
    <w:bookmarkStart w:id="163"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62">
        <w:r>
          <w:rPr>
            <w:rStyle w:val="Hyperlink"/>
          </w:rPr>
          <w:t xml:space="preserve">https://doi.org/10.1145/2756406.2756951</w:t>
        </w:r>
      </w:hyperlink>
    </w:p>
    <w:bookmarkEnd w:id="163"/>
    <w:bookmarkStart w:id="165"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64">
        <w:r>
          <w:rPr>
            <w:rStyle w:val="Hyperlink"/>
          </w:rPr>
          <w:t xml:space="preserve">https://doi.org/10.1016/j.tics.2019.05.004</w:t>
        </w:r>
      </w:hyperlink>
    </w:p>
    <w:bookmarkEnd w:id="165"/>
    <w:bookmarkStart w:id="167"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66">
        <w:r>
          <w:rPr>
            <w:rStyle w:val="Hyperlink"/>
          </w:rPr>
          <w:t xml:space="preserve">https://doi.org/10.1086/342638</w:t>
        </w:r>
      </w:hyperlink>
    </w:p>
    <w:bookmarkEnd w:id="167"/>
    <w:bookmarkStart w:id="169"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168">
        <w:r>
          <w:rPr>
            <w:rStyle w:val="Hyperlink"/>
          </w:rPr>
          <w:t xml:space="preserve">https://doi.org/10.1016/j.tics.2021.07.005</w:t>
        </w:r>
      </w:hyperlink>
    </w:p>
    <w:bookmarkEnd w:id="169"/>
    <w:bookmarkStart w:id="171"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70">
        <w:r>
          <w:rPr>
            <w:rStyle w:val="Hyperlink"/>
          </w:rPr>
          <w:t xml:space="preserve">https://doi.org/10.1038/s41598-021-92992-5</w:t>
        </w:r>
      </w:hyperlink>
    </w:p>
    <w:bookmarkEnd w:id="171"/>
    <w:bookmarkStart w:id="173" w:name="ref-stout2023"/>
    <w:p>
      <w:pPr>
        <w:pStyle w:val="Bibliography"/>
      </w:pPr>
      <w:r>
        <w:t xml:space="preserve">Stout, D., &amp; Hecht, E. (2023).</w:t>
      </w:r>
      <w:r>
        <w:t xml:space="preserve"> </w:t>
      </w:r>
      <w:r>
        <w:rPr>
          <w:iCs/>
          <w:i/>
        </w:rPr>
        <w:t xml:space="preserve">Evolutionary neuroarchaeology</w:t>
      </w:r>
      <w:r>
        <w:t xml:space="preserve"> </w:t>
      </w:r>
      <w:r>
        <w:t xml:space="preserve">(T. Wynn, K. A. Overmann, &amp; F. L. Coolidge, Eds.; p. C14.S1C14.S11). Oxford University Press.</w:t>
      </w:r>
      <w:r>
        <w:t xml:space="preserve"> </w:t>
      </w:r>
      <w:hyperlink r:id="rId172">
        <w:r>
          <w:rPr>
            <w:rStyle w:val="Hyperlink"/>
          </w:rPr>
          <w:t xml:space="preserve">https://doi.org/10.1093/oxfordhb/9780192895950.013.14</w:t>
        </w:r>
      </w:hyperlink>
    </w:p>
    <w:bookmarkEnd w:id="173"/>
    <w:bookmarkStart w:id="175"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74">
        <w:r>
          <w:rPr>
            <w:rStyle w:val="Hyperlink"/>
          </w:rPr>
          <w:t xml:space="preserve">https://doi.org/10.1017/S0140525X21000431</w:t>
        </w:r>
      </w:hyperlink>
    </w:p>
    <w:bookmarkEnd w:id="175"/>
    <w:bookmarkStart w:id="177" w:name="ref-timbrell2022"/>
    <w:p>
      <w:pPr>
        <w:pStyle w:val="Bibliography"/>
      </w:pPr>
      <w:r>
        <w:t xml:space="preserve">Timbrell, L. (2022). A collaborative model for lithic shape digitization in museum settings.</w:t>
      </w:r>
      <w:r>
        <w:t xml:space="preserve"> </w:t>
      </w:r>
      <w:r>
        <w:rPr>
          <w:iCs/>
          <w:i/>
        </w:rPr>
        <w:t xml:space="preserve">Lithic Technology</w:t>
      </w:r>
      <w:r>
        <w:t xml:space="preserve">,</w:t>
      </w:r>
      <w:r>
        <w:t xml:space="preserve"> </w:t>
      </w:r>
      <w:r>
        <w:rPr>
          <w:iCs/>
          <w:i/>
        </w:rPr>
        <w:t xml:space="preserve">0</w:t>
      </w:r>
      <w:r>
        <w:t xml:space="preserve">(0), 1–12.</w:t>
      </w:r>
      <w:r>
        <w:t xml:space="preserve"> </w:t>
      </w:r>
      <w:hyperlink r:id="rId176">
        <w:r>
          <w:rPr>
            <w:rStyle w:val="Hyperlink"/>
          </w:rPr>
          <w:t xml:space="preserve">https://doi.org/10.1080/01977261.2022.2092299</w:t>
        </w:r>
      </w:hyperlink>
    </w:p>
    <w:bookmarkEnd w:id="177"/>
    <w:bookmarkStart w:id="178"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78"/>
    <w:bookmarkStart w:id="180"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79">
        <w:r>
          <w:rPr>
            <w:rStyle w:val="Hyperlink"/>
          </w:rPr>
          <w:t xml:space="preserve">https://www.frontiersin.org/articles/10.3389/fpsyg.2019.02196</w:t>
        </w:r>
      </w:hyperlink>
    </w:p>
    <w:bookmarkEnd w:id="180"/>
    <w:bookmarkStart w:id="181" w:name="ref-whittaker2004"/>
    <w:p>
      <w:pPr>
        <w:pStyle w:val="Bibliography"/>
      </w:pPr>
      <w:r>
        <w:t xml:space="preserve">Whittaker, C., John. (2004).</w:t>
      </w:r>
      <w:r>
        <w:t xml:space="preserve"> </w:t>
      </w:r>
      <w:r>
        <w:rPr>
          <w:iCs/>
          <w:i/>
        </w:rPr>
        <w:t xml:space="preserve">American Flintknappers: Stone Age Art in the Age of Computers</w:t>
      </w:r>
      <w:r>
        <w:t xml:space="preserve">. University of Texas Press.</w:t>
      </w:r>
    </w:p>
    <w:bookmarkEnd w:id="181"/>
    <w:bookmarkStart w:id="182" w:name="ref-whittaker1994"/>
    <w:p>
      <w:pPr>
        <w:pStyle w:val="Bibliography"/>
      </w:pPr>
      <w:r>
        <w:t xml:space="preserve">Whittaker, J. C. (1994).</w:t>
      </w:r>
      <w:r>
        <w:t xml:space="preserve"> </w:t>
      </w:r>
      <w:r>
        <w:rPr>
          <w:iCs/>
          <w:i/>
        </w:rPr>
        <w:t xml:space="preserve">Flintknapping: Making and Understanding Stone Tools</w:t>
      </w:r>
      <w:r>
        <w:t xml:space="preserve">. University of Texas Press.</w:t>
      </w:r>
    </w:p>
    <w:bookmarkEnd w:id="182"/>
    <w:bookmarkStart w:id="18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83">
        <w:r>
          <w:rPr>
            <w:rStyle w:val="Hyperlink"/>
          </w:rPr>
          <w:t xml:space="preserve">https://doi.org/10.1038/sdata.2016.18</w:t>
        </w:r>
      </w:hyperlink>
    </w:p>
    <w:bookmarkEnd w:id="184"/>
    <w:bookmarkStart w:id="186"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185">
        <w:r>
          <w:rPr>
            <w:rStyle w:val="Hyperlink"/>
          </w:rPr>
          <w:t xml:space="preserve">https://doi.org/10.1017/S0140525X20001685</w:t>
        </w:r>
      </w:hyperlink>
    </w:p>
    <w:bookmarkEnd w:id="186"/>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19" Target="http://onlinedigeditions.com/publication/?i=440506" TargetMode="External" /><Relationship Type="http://schemas.openxmlformats.org/officeDocument/2006/relationships/hyperlink" Id="rId143" Target="https://doi.org/10.1002/evan.21823" TargetMode="External" /><Relationship Type="http://schemas.openxmlformats.org/officeDocument/2006/relationships/hyperlink" Id="rId106" Target="https://doi.org/10.1002/evan.21964" TargetMode="External" /><Relationship Type="http://schemas.openxmlformats.org/officeDocument/2006/relationships/hyperlink" Id="rId98" Target="https://doi.org/10.1007/s00146-022-01573-1" TargetMode="External" /><Relationship Type="http://schemas.openxmlformats.org/officeDocument/2006/relationships/hyperlink" Id="rId63" Target="https://doi.org/10.1007/s10437-020-09404-8" TargetMode="External" /><Relationship Type="http://schemas.openxmlformats.org/officeDocument/2006/relationships/hyperlink" Id="rId102" Target="https://doi.org/10.1007/s10816-017-9351-1" TargetMode="External" /><Relationship Type="http://schemas.openxmlformats.org/officeDocument/2006/relationships/hyperlink" Id="rId141" Target="https://doi.org/10.1007/s10816-021-09511-z" TargetMode="External" /><Relationship Type="http://schemas.openxmlformats.org/officeDocument/2006/relationships/hyperlink" Id="rId100" Target="https://doi.org/10.1007/s10816-022-09586-2" TargetMode="External" /><Relationship Type="http://schemas.openxmlformats.org/officeDocument/2006/relationships/hyperlink" Id="rId136" Target="https://doi.org/10.1007/s10816-022-09592-4" TargetMode="External" /><Relationship Type="http://schemas.openxmlformats.org/officeDocument/2006/relationships/hyperlink" Id="rId138" Target="https://doi.org/10.1007/s12520-018-0729-0" TargetMode="External" /><Relationship Type="http://schemas.openxmlformats.org/officeDocument/2006/relationships/hyperlink" Id="rId69" Target="https://doi.org/10.1016/bs.asb.2018.01.001" TargetMode="External" /><Relationship Type="http://schemas.openxmlformats.org/officeDocument/2006/relationships/hyperlink" Id="rId86" Target="https://doi.org/10.1016/j.cub.2021.01.096" TargetMode="External" /><Relationship Type="http://schemas.openxmlformats.org/officeDocument/2006/relationships/hyperlink" Id="rId156" Target="https://doi.org/10.1016/j.jas.2016.04.013" TargetMode="External" /><Relationship Type="http://schemas.openxmlformats.org/officeDocument/2006/relationships/hyperlink" Id="rId104" Target="https://doi.org/10.1016/j.jasrep.2023.103974" TargetMode="External" /><Relationship Type="http://schemas.openxmlformats.org/officeDocument/2006/relationships/hyperlink" Id="rId128" Target="https://doi.org/10.1016/j.neuroimage.2020.117254" TargetMode="External" /><Relationship Type="http://schemas.openxmlformats.org/officeDocument/2006/relationships/hyperlink" Id="rId121" Target="https://doi.org/10.1016/j.neuron.2021.05.021" TargetMode="External" /><Relationship Type="http://schemas.openxmlformats.org/officeDocument/2006/relationships/hyperlink" Id="rId113" Target="https://doi.org/10.1016/j.quascirev.2020.106431" TargetMode="External" /><Relationship Type="http://schemas.openxmlformats.org/officeDocument/2006/relationships/hyperlink" Id="rId164" Target="https://doi.org/10.1016/j.tics.2019.05.004" TargetMode="External" /><Relationship Type="http://schemas.openxmlformats.org/officeDocument/2006/relationships/hyperlink" Id="rId45" Target="https://doi.org/10.1016/j.tics.2020.05.007" TargetMode="External" /><Relationship Type="http://schemas.openxmlformats.org/officeDocument/2006/relationships/hyperlink" Id="rId168" Target="https://doi.org/10.1016/j.tics.2021.07.005" TargetMode="External" /><Relationship Type="http://schemas.openxmlformats.org/officeDocument/2006/relationships/hyperlink" Id="rId185" Target="https://doi.org/10.1017/S0140525X20001685" TargetMode="External" /><Relationship Type="http://schemas.openxmlformats.org/officeDocument/2006/relationships/hyperlink" Id="rId174" Target="https://doi.org/10.1017/S0140525X21000431" TargetMode="External" /><Relationship Type="http://schemas.openxmlformats.org/officeDocument/2006/relationships/hyperlink" Id="rId93" Target="https://doi.org/10.1017/S0959774304230050" TargetMode="External" /><Relationship Type="http://schemas.openxmlformats.org/officeDocument/2006/relationships/hyperlink" Id="rId123"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5" Target="https://doi.org/10.1017/S0959774323000070" TargetMode="External" /><Relationship Type="http://schemas.openxmlformats.org/officeDocument/2006/relationships/hyperlink" Id="rId91" Target="https://doi.org/10.1037/1076-898X.5.2.205" TargetMode="External" /><Relationship Type="http://schemas.openxmlformats.org/officeDocument/2006/relationships/hyperlink" Id="rId132" Target="https://doi.org/10.1038/s41586-023-06124-2" TargetMode="External" /><Relationship Type="http://schemas.openxmlformats.org/officeDocument/2006/relationships/hyperlink" Id="rId108" Target="https://doi.org/10.1038/s41598-017-14322-y" TargetMode="External" /><Relationship Type="http://schemas.openxmlformats.org/officeDocument/2006/relationships/hyperlink" Id="rId170" Target="https://doi.org/10.1038/s41598-021-92992-5" TargetMode="External" /><Relationship Type="http://schemas.openxmlformats.org/officeDocument/2006/relationships/hyperlink" Id="rId183" Target="https://doi.org/10.1038/sdata.2016.18" TargetMode="External" /><Relationship Type="http://schemas.openxmlformats.org/officeDocument/2006/relationships/hyperlink" Id="rId49" Target="https://doi.org/10.1080/00031305.2017.1375989" TargetMode="External" /><Relationship Type="http://schemas.openxmlformats.org/officeDocument/2006/relationships/hyperlink" Id="rId76" Target="https://doi.org/10.1080/00141844.2018.1455726" TargetMode="External" /><Relationship Type="http://schemas.openxmlformats.org/officeDocument/2006/relationships/hyperlink" Id="rId115"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6" Target="https://doi.org/10.1080/01977261.2022.2092299" TargetMode="External" /><Relationship Type="http://schemas.openxmlformats.org/officeDocument/2006/relationships/hyperlink" Id="rId65" Target="https://doi.org/10.1080/19442890.2016.1213972" TargetMode="External" /><Relationship Type="http://schemas.openxmlformats.org/officeDocument/2006/relationships/hyperlink" Id="rId96" Target="https://doi.org/10.1086/202078" TargetMode="External" /><Relationship Type="http://schemas.openxmlformats.org/officeDocument/2006/relationships/hyperlink" Id="rId51" Target="https://doi.org/10.1086/261651" TargetMode="External" /><Relationship Type="http://schemas.openxmlformats.org/officeDocument/2006/relationships/hyperlink" Id="rId166" Target="https://doi.org/10.1086/342638" TargetMode="External" /><Relationship Type="http://schemas.openxmlformats.org/officeDocument/2006/relationships/hyperlink" Id="rId80" Target="https://doi.org/10.1086/650295" TargetMode="External" /><Relationship Type="http://schemas.openxmlformats.org/officeDocument/2006/relationships/hyperlink" Id="rId84" Target="https://doi.org/10.1093/oxfordhb/9780192895950.013.12" TargetMode="External" /><Relationship Type="http://schemas.openxmlformats.org/officeDocument/2006/relationships/hyperlink" Id="rId172"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71" Target="https://doi.org/10.1111/2041-210X.12584" TargetMode="External" /><Relationship Type="http://schemas.openxmlformats.org/officeDocument/2006/relationships/hyperlink" Id="rId162" Target="https://doi.org/10.1145/2756406.2756951" TargetMode="External" /><Relationship Type="http://schemas.openxmlformats.org/officeDocument/2006/relationships/hyperlink" Id="rId67" Target="https://doi.org/10.1146/annurev.an.13.100184.001155" TargetMode="External" /><Relationship Type="http://schemas.openxmlformats.org/officeDocument/2006/relationships/hyperlink" Id="rId74" Target="https://doi.org/10.1167/15.12.280" TargetMode="External" /><Relationship Type="http://schemas.openxmlformats.org/officeDocument/2006/relationships/hyperlink" Id="rId130" Target="https://doi.org/10.1177/1536867X0800700403" TargetMode="External" /><Relationship Type="http://schemas.openxmlformats.org/officeDocument/2006/relationships/hyperlink" Id="rId160" Target="https://doi.org/10.1177/1745691619856350" TargetMode="External" /><Relationship Type="http://schemas.openxmlformats.org/officeDocument/2006/relationships/hyperlink" Id="rId88" Target="https://doi.org/10.1257/aer.91.2.73" TargetMode="External" /><Relationship Type="http://schemas.openxmlformats.org/officeDocument/2006/relationships/hyperlink" Id="rId117" Target="https://doi.org/10.1371/journal.pone.0273118" TargetMode="External" /><Relationship Type="http://schemas.openxmlformats.org/officeDocument/2006/relationships/hyperlink" Id="rId47" Target="https://doi.org/10.2218/jls.v3i1.1522" TargetMode="External" /><Relationship Type="http://schemas.openxmlformats.org/officeDocument/2006/relationships/hyperlink" Id="rId59" Target="https://doi.org/10.2307/j.ctv1c29t27" TargetMode="External" /><Relationship Type="http://schemas.openxmlformats.org/officeDocument/2006/relationships/hyperlink" Id="rId110"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58" Target="https://doi.org/10.5334/jcaa.29" TargetMode="External" /><Relationship Type="http://schemas.openxmlformats.org/officeDocument/2006/relationships/hyperlink" Id="rId148" Target="https://ore.exeter.ac.uk/repository/handle/10871/9041" TargetMode="External" /><Relationship Type="http://schemas.openxmlformats.org/officeDocument/2006/relationships/hyperlink" Id="rId40" Target="https://proceedings.neurips.cc/paper/2018/hash/d89a66c7c80a29b1bdbab0f2a1a94af8-Abstract.html" TargetMode="External" /><Relationship Type="http://schemas.openxmlformats.org/officeDocument/2006/relationships/hyperlink" Id="rId153" Target="https://shs.hal.science/halshs-00120262" TargetMode="External" /><Relationship Type="http://schemas.openxmlformats.org/officeDocument/2006/relationships/hyperlink" Id="rId82" Target="https://www.frontiersin.org/articles/10.3389/fpsyg.2014.01472" TargetMode="External" /><Relationship Type="http://schemas.openxmlformats.org/officeDocument/2006/relationships/hyperlink" Id="rId179" Target="https://www.frontiersin.org/articles/10.3389/fpsyg.2019.02196" TargetMode="External" /><Relationship Type="http://schemas.openxmlformats.org/officeDocument/2006/relationships/hyperlink" Id="rId151" Target="https://www.jstor.org/stable/20616293" TargetMode="External" /><Relationship Type="http://schemas.openxmlformats.org/officeDocument/2006/relationships/hyperlink" Id="rId145" Target="https://www.jstor.org/stable/27825902" TargetMode="External" /><Relationship Type="http://schemas.openxmlformats.org/officeDocument/2006/relationships/hyperlink" Id="rId134" Target="https://www.jstor.org/stable/40025310" TargetMode="External" /><Relationship Type="http://schemas.openxmlformats.org/officeDocument/2006/relationships/hyperlink" Id="rId21" Target="mailto:cheng.liu@emory.edu" TargetMode="External" /></Relationships>
</file>

<file path=word/_rels/footnotes.xml.rels><?xml version="1.0" encoding="UTF-8"?><Relationships xmlns="http://schemas.openxmlformats.org/package/2006/relationships"><Relationship Type="http://schemas.openxmlformats.org/officeDocument/2006/relationships/hyperlink" Id="rId119" Target="http://onlinedigeditions.com/publication/?i=440506" TargetMode="External" /><Relationship Type="http://schemas.openxmlformats.org/officeDocument/2006/relationships/hyperlink" Id="rId143" Target="https://doi.org/10.1002/evan.21823" TargetMode="External" /><Relationship Type="http://schemas.openxmlformats.org/officeDocument/2006/relationships/hyperlink" Id="rId106" Target="https://doi.org/10.1002/evan.21964" TargetMode="External" /><Relationship Type="http://schemas.openxmlformats.org/officeDocument/2006/relationships/hyperlink" Id="rId98" Target="https://doi.org/10.1007/s00146-022-01573-1" TargetMode="External" /><Relationship Type="http://schemas.openxmlformats.org/officeDocument/2006/relationships/hyperlink" Id="rId63" Target="https://doi.org/10.1007/s10437-020-09404-8" TargetMode="External" /><Relationship Type="http://schemas.openxmlformats.org/officeDocument/2006/relationships/hyperlink" Id="rId102" Target="https://doi.org/10.1007/s10816-017-9351-1" TargetMode="External" /><Relationship Type="http://schemas.openxmlformats.org/officeDocument/2006/relationships/hyperlink" Id="rId141" Target="https://doi.org/10.1007/s10816-021-09511-z" TargetMode="External" /><Relationship Type="http://schemas.openxmlformats.org/officeDocument/2006/relationships/hyperlink" Id="rId100" Target="https://doi.org/10.1007/s10816-022-09586-2" TargetMode="External" /><Relationship Type="http://schemas.openxmlformats.org/officeDocument/2006/relationships/hyperlink" Id="rId136" Target="https://doi.org/10.1007/s10816-022-09592-4" TargetMode="External" /><Relationship Type="http://schemas.openxmlformats.org/officeDocument/2006/relationships/hyperlink" Id="rId138" Target="https://doi.org/10.1007/s12520-018-0729-0" TargetMode="External" /><Relationship Type="http://schemas.openxmlformats.org/officeDocument/2006/relationships/hyperlink" Id="rId69" Target="https://doi.org/10.1016/bs.asb.2018.01.001" TargetMode="External" /><Relationship Type="http://schemas.openxmlformats.org/officeDocument/2006/relationships/hyperlink" Id="rId86" Target="https://doi.org/10.1016/j.cub.2021.01.096" TargetMode="External" /><Relationship Type="http://schemas.openxmlformats.org/officeDocument/2006/relationships/hyperlink" Id="rId156" Target="https://doi.org/10.1016/j.jas.2016.04.013" TargetMode="External" /><Relationship Type="http://schemas.openxmlformats.org/officeDocument/2006/relationships/hyperlink" Id="rId104" Target="https://doi.org/10.1016/j.jasrep.2023.103974" TargetMode="External" /><Relationship Type="http://schemas.openxmlformats.org/officeDocument/2006/relationships/hyperlink" Id="rId128" Target="https://doi.org/10.1016/j.neuroimage.2020.117254" TargetMode="External" /><Relationship Type="http://schemas.openxmlformats.org/officeDocument/2006/relationships/hyperlink" Id="rId121" Target="https://doi.org/10.1016/j.neuron.2021.05.021" TargetMode="External" /><Relationship Type="http://schemas.openxmlformats.org/officeDocument/2006/relationships/hyperlink" Id="rId113" Target="https://doi.org/10.1016/j.quascirev.2020.106431" TargetMode="External" /><Relationship Type="http://schemas.openxmlformats.org/officeDocument/2006/relationships/hyperlink" Id="rId164" Target="https://doi.org/10.1016/j.tics.2019.05.004" TargetMode="External" /><Relationship Type="http://schemas.openxmlformats.org/officeDocument/2006/relationships/hyperlink" Id="rId45" Target="https://doi.org/10.1016/j.tics.2020.05.007" TargetMode="External" /><Relationship Type="http://schemas.openxmlformats.org/officeDocument/2006/relationships/hyperlink" Id="rId168" Target="https://doi.org/10.1016/j.tics.2021.07.005" TargetMode="External" /><Relationship Type="http://schemas.openxmlformats.org/officeDocument/2006/relationships/hyperlink" Id="rId185" Target="https://doi.org/10.1017/S0140525X20001685" TargetMode="External" /><Relationship Type="http://schemas.openxmlformats.org/officeDocument/2006/relationships/hyperlink" Id="rId174" Target="https://doi.org/10.1017/S0140525X21000431" TargetMode="External" /><Relationship Type="http://schemas.openxmlformats.org/officeDocument/2006/relationships/hyperlink" Id="rId93" Target="https://doi.org/10.1017/S0959774304230050" TargetMode="External" /><Relationship Type="http://schemas.openxmlformats.org/officeDocument/2006/relationships/hyperlink" Id="rId123"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5" Target="https://doi.org/10.1017/S0959774323000070" TargetMode="External" /><Relationship Type="http://schemas.openxmlformats.org/officeDocument/2006/relationships/hyperlink" Id="rId91" Target="https://doi.org/10.1037/1076-898X.5.2.205" TargetMode="External" /><Relationship Type="http://schemas.openxmlformats.org/officeDocument/2006/relationships/hyperlink" Id="rId132" Target="https://doi.org/10.1038/s41586-023-06124-2" TargetMode="External" /><Relationship Type="http://schemas.openxmlformats.org/officeDocument/2006/relationships/hyperlink" Id="rId108" Target="https://doi.org/10.1038/s41598-017-14322-y" TargetMode="External" /><Relationship Type="http://schemas.openxmlformats.org/officeDocument/2006/relationships/hyperlink" Id="rId170" Target="https://doi.org/10.1038/s41598-021-92992-5" TargetMode="External" /><Relationship Type="http://schemas.openxmlformats.org/officeDocument/2006/relationships/hyperlink" Id="rId183" Target="https://doi.org/10.1038/sdata.2016.18" TargetMode="External" /><Relationship Type="http://schemas.openxmlformats.org/officeDocument/2006/relationships/hyperlink" Id="rId49" Target="https://doi.org/10.1080/00031305.2017.1375989" TargetMode="External" /><Relationship Type="http://schemas.openxmlformats.org/officeDocument/2006/relationships/hyperlink" Id="rId76" Target="https://doi.org/10.1080/00141844.2018.1455726" TargetMode="External" /><Relationship Type="http://schemas.openxmlformats.org/officeDocument/2006/relationships/hyperlink" Id="rId115"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6" Target="https://doi.org/10.1080/01977261.2022.2092299" TargetMode="External" /><Relationship Type="http://schemas.openxmlformats.org/officeDocument/2006/relationships/hyperlink" Id="rId65" Target="https://doi.org/10.1080/19442890.2016.1213972" TargetMode="External" /><Relationship Type="http://schemas.openxmlformats.org/officeDocument/2006/relationships/hyperlink" Id="rId96" Target="https://doi.org/10.1086/202078" TargetMode="External" /><Relationship Type="http://schemas.openxmlformats.org/officeDocument/2006/relationships/hyperlink" Id="rId51" Target="https://doi.org/10.1086/261651" TargetMode="External" /><Relationship Type="http://schemas.openxmlformats.org/officeDocument/2006/relationships/hyperlink" Id="rId166" Target="https://doi.org/10.1086/342638" TargetMode="External" /><Relationship Type="http://schemas.openxmlformats.org/officeDocument/2006/relationships/hyperlink" Id="rId80" Target="https://doi.org/10.1086/650295" TargetMode="External" /><Relationship Type="http://schemas.openxmlformats.org/officeDocument/2006/relationships/hyperlink" Id="rId84" Target="https://doi.org/10.1093/oxfordhb/9780192895950.013.12" TargetMode="External" /><Relationship Type="http://schemas.openxmlformats.org/officeDocument/2006/relationships/hyperlink" Id="rId172"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71" Target="https://doi.org/10.1111/2041-210X.12584" TargetMode="External" /><Relationship Type="http://schemas.openxmlformats.org/officeDocument/2006/relationships/hyperlink" Id="rId162" Target="https://doi.org/10.1145/2756406.2756951" TargetMode="External" /><Relationship Type="http://schemas.openxmlformats.org/officeDocument/2006/relationships/hyperlink" Id="rId67" Target="https://doi.org/10.1146/annurev.an.13.100184.001155" TargetMode="External" /><Relationship Type="http://schemas.openxmlformats.org/officeDocument/2006/relationships/hyperlink" Id="rId74" Target="https://doi.org/10.1167/15.12.280" TargetMode="External" /><Relationship Type="http://schemas.openxmlformats.org/officeDocument/2006/relationships/hyperlink" Id="rId130" Target="https://doi.org/10.1177/1536867X0800700403" TargetMode="External" /><Relationship Type="http://schemas.openxmlformats.org/officeDocument/2006/relationships/hyperlink" Id="rId160" Target="https://doi.org/10.1177/1745691619856350" TargetMode="External" /><Relationship Type="http://schemas.openxmlformats.org/officeDocument/2006/relationships/hyperlink" Id="rId88" Target="https://doi.org/10.1257/aer.91.2.73" TargetMode="External" /><Relationship Type="http://schemas.openxmlformats.org/officeDocument/2006/relationships/hyperlink" Id="rId117" Target="https://doi.org/10.1371/journal.pone.0273118" TargetMode="External" /><Relationship Type="http://schemas.openxmlformats.org/officeDocument/2006/relationships/hyperlink" Id="rId47" Target="https://doi.org/10.2218/jls.v3i1.1522" TargetMode="External" /><Relationship Type="http://schemas.openxmlformats.org/officeDocument/2006/relationships/hyperlink" Id="rId59" Target="https://doi.org/10.2307/j.ctv1c29t27" TargetMode="External" /><Relationship Type="http://schemas.openxmlformats.org/officeDocument/2006/relationships/hyperlink" Id="rId110"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58" Target="https://doi.org/10.5334/jcaa.29" TargetMode="External" /><Relationship Type="http://schemas.openxmlformats.org/officeDocument/2006/relationships/hyperlink" Id="rId148" Target="https://ore.exeter.ac.uk/repository/handle/10871/9041" TargetMode="External" /><Relationship Type="http://schemas.openxmlformats.org/officeDocument/2006/relationships/hyperlink" Id="rId40" Target="https://proceedings.neurips.cc/paper/2018/hash/d89a66c7c80a29b1bdbab0f2a1a94af8-Abstract.html" TargetMode="External" /><Relationship Type="http://schemas.openxmlformats.org/officeDocument/2006/relationships/hyperlink" Id="rId153" Target="https://shs.hal.science/halshs-00120262" TargetMode="External" /><Relationship Type="http://schemas.openxmlformats.org/officeDocument/2006/relationships/hyperlink" Id="rId82" Target="https://www.frontiersin.org/articles/10.3389/fpsyg.2014.01472" TargetMode="External" /><Relationship Type="http://schemas.openxmlformats.org/officeDocument/2006/relationships/hyperlink" Id="rId179" Target="https://www.frontiersin.org/articles/10.3389/fpsyg.2019.02196" TargetMode="External" /><Relationship Type="http://schemas.openxmlformats.org/officeDocument/2006/relationships/hyperlink" Id="rId151" Target="https://www.jstor.org/stable/20616293" TargetMode="External" /><Relationship Type="http://schemas.openxmlformats.org/officeDocument/2006/relationships/hyperlink" Id="rId145" Target="https://www.jstor.org/stable/27825902" TargetMode="External" /><Relationship Type="http://schemas.openxmlformats.org/officeDocument/2006/relationships/hyperlink" Id="rId134" Target="https://www.jstor.org/stable/40025310" TargetMode="External" /><Relationship Type="http://schemas.openxmlformats.org/officeDocument/2006/relationships/hyperlink" Id="rId21" Target="mailto:cheng.liu@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dcterms:created xsi:type="dcterms:W3CDTF">2023-09-13T18:56:01Z</dcterms:created>
  <dcterms:modified xsi:type="dcterms:W3CDTF">2023-09-13T18:56:01Z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outline of the Perception-Process-Product (‘Triple P’) conceptual framework that aims to expand the scope of experimental archaeology. The Triple P framework emphasizes the amplification of multi-level variation and the identification of interacting relationships of variations across the levels of perception, process, and product. Here I propose the following three ontologically and epistemologically based principles to put the Triple P framework into practice: 1) acknowledging the contribution and limitations of actualistic experiments in the trade-off of causality and generalizability;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Ethnographical analysis;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2023-09-13</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