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636D" w14:textId="77777777" w:rsidR="000E78DC" w:rsidRDefault="00000000" w:rsidP="008F1F08">
      <w:pPr>
        <w:pStyle w:val="Title"/>
      </w:pPr>
      <w:r>
        <w:t>Variation matters: Expanding the scope of experimental archaeology using the Perception-Process-Product conceptual framework</w:t>
      </w:r>
    </w:p>
    <w:p w14:paraId="16642E15" w14:textId="77777777" w:rsidR="000E78DC" w:rsidRDefault="00000000" w:rsidP="008F1F08">
      <w:pPr>
        <w:pStyle w:val="Author"/>
      </w:pPr>
      <w:r>
        <w:t>Cheng Liu</w:t>
      </w:r>
      <w:r>
        <w:rPr>
          <w:rStyle w:val="FootnoteReference"/>
        </w:rPr>
        <w:footnoteReference w:id="1"/>
      </w:r>
    </w:p>
    <w:p w14:paraId="1C489B2C" w14:textId="77777777" w:rsidR="000E78DC" w:rsidRDefault="00000000" w:rsidP="008F1F08">
      <w:pPr>
        <w:pStyle w:val="Date"/>
      </w:pPr>
      <w:r>
        <w:t>2023-09-25</w:t>
      </w:r>
    </w:p>
    <w:p w14:paraId="28759BA9" w14:textId="214F046F" w:rsidR="000E78DC" w:rsidRDefault="00000000" w:rsidP="008F1F08">
      <w:pPr>
        <w:pStyle w:val="Abstract"/>
        <w:jc w:val="both"/>
      </w:pPr>
      <w:r>
        <w:t>Abstract: This paper presents the outline of the Perception-Process-Product (‘Triple P’) conceptual framework that aims to expand the scope of experimental archaeology. The Triple P framework emphasizes multi-level variation and interactions across the levels of perception, process, and product in order to provide a more contextualized and comprehensive explanation of the past archaeological record. I propose the following three ontologically and epistemologically based principles to put the Triple P framework into practice: 1) acknowledging the inherent trade-off between control and generalizability in actualistic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w:t>
      </w:r>
      <w:r>
        <w:br/>
      </w:r>
      <w:r>
        <w:br/>
        <w:t>Keywords: Experimental archaeology; Ethological analysis; Ethnographical analysis; Curse of knowledge; Collaborative knowledge production</w:t>
      </w:r>
    </w:p>
    <w:p w14:paraId="42E17078" w14:textId="77777777" w:rsidR="000E78DC" w:rsidRDefault="00000000" w:rsidP="008F1F08">
      <w:pPr>
        <w:pStyle w:val="Heading1"/>
        <w:jc w:val="both"/>
      </w:pPr>
      <w:bookmarkStart w:id="0" w:name="introduction"/>
      <w:r>
        <w:t>Introduction</w:t>
      </w:r>
    </w:p>
    <w:p w14:paraId="5DA48FC5" w14:textId="77777777" w:rsidR="000E78DC" w:rsidRDefault="00000000" w:rsidP="008F1F08">
      <w:pPr>
        <w:pStyle w:val="FirstParagraph"/>
        <w:jc w:val="both"/>
      </w:pPr>
      <w:r>
        <w:t xml:space="preserve">This paper presents the Perception-Process-Product (hereafter ‘Triple P’) conceptual framework to expand the scope of experimental archaeology. Adopting the principle of Occam’s razor (e.g., </w:t>
      </w:r>
      <w:hyperlink w:anchor="ref-domínguez-rodrigo2008">
        <w:r>
          <w:rPr>
            <w:rStyle w:val="Hyperlink"/>
          </w:rPr>
          <w:t>Domínguez-Rodrigo, 2008</w:t>
        </w:r>
      </w:hyperlink>
      <w:r>
        <w:t xml:space="preserve">; </w:t>
      </w:r>
      <w:hyperlink w:anchor="ref-reeves2009">
        <w:r>
          <w:rPr>
            <w:rStyle w:val="Hyperlink"/>
          </w:rPr>
          <w:t>Reeves et al., 2009</w:t>
        </w:r>
      </w:hyperlink>
      <w:r>
        <w:t>),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 (</w:t>
      </w:r>
      <w:hyperlink w:anchor="ref-armstrong2018">
        <w:r>
          <w:rPr>
            <w:rStyle w:val="Hyperlink"/>
          </w:rPr>
          <w:t>Mindermann &amp; Armstrong, 2018</w:t>
        </w:r>
      </w:hyperlink>
      <w:r>
        <w:t xml:space="preserve">) in tool design and use, and the two conditions described here provide a better approximation of past humans displaying extensive cultural variation as opposed to the assumption of omniscient </w:t>
      </w:r>
      <w:r>
        <w:rPr>
          <w:i/>
          <w:iCs/>
        </w:rPr>
        <w:t>Homo economicus</w:t>
      </w:r>
      <w:r>
        <w:t xml:space="preserve"> for most anthropologists (</w:t>
      </w:r>
      <w:hyperlink w:anchor="ref-henrichSearchHomoEconomicus2001">
        <w:r>
          <w:rPr>
            <w:rStyle w:val="Hyperlink"/>
          </w:rPr>
          <w:t>Henrich et al., 2001</w:t>
        </w:r>
      </w:hyperlink>
      <w:r>
        <w:t xml:space="preserve">). In the evolution of technology, it is rather common that opaque causal perception and its resulting tendency of over-imitation (e.g., Sylvia’s Recipe, </w:t>
      </w:r>
      <w:hyperlink w:anchor="ref-gergely2006">
        <w:r>
          <w:rPr>
            <w:rStyle w:val="Hyperlink"/>
          </w:rPr>
          <w:t>Gergely &amp; Csibra, 2006</w:t>
        </w:r>
      </w:hyperlink>
      <w:r>
        <w:t xml:space="preserve">) together with path dependence (e.g., QUERTY keyboard design, </w:t>
      </w:r>
      <w:hyperlink w:anchor="ref-kafaee2022">
        <w:r>
          <w:rPr>
            <w:rStyle w:val="Hyperlink"/>
          </w:rPr>
          <w:t>Kafaee et al., 2022</w:t>
        </w:r>
      </w:hyperlink>
      <w:r>
        <w:t>) can lead to the widespread and long-lasting reproduction of technological solutions that are neither optimal in functional efficiency nor minimal in manufacture complexity.</w:t>
      </w:r>
    </w:p>
    <w:p w14:paraId="0D2C7327" w14:textId="77777777" w:rsidR="000E78DC" w:rsidRDefault="00000000" w:rsidP="008F1F08">
      <w:pPr>
        <w:pStyle w:val="BodyText"/>
        <w:jc w:val="both"/>
      </w:pPr>
      <w:r>
        <w:lastRenderedPageBreak/>
        <w:t xml:space="preserve">Built upon the </w:t>
      </w:r>
      <w:r>
        <w:rPr>
          <w:i/>
          <w:iCs/>
        </w:rPr>
        <w:t>Homo economicus</w:t>
      </w:r>
      <w:r>
        <w:t xml:space="preserve"> critique and early works in behavioural archaeology (</w:t>
      </w:r>
      <w:hyperlink w:anchor="ref-schiffer2010">
        <w:r>
          <w:rPr>
            <w:rStyle w:val="Hyperlink"/>
          </w:rPr>
          <w:t>Schiffer, 2010</w:t>
        </w:r>
      </w:hyperlink>
      <w:r>
        <w:t xml:space="preserve">), here I propose the Triple P framework, which aims to </w:t>
      </w:r>
      <w:r>
        <w:rPr>
          <w:b/>
          <w:bCs/>
        </w:rPr>
        <w:t>a)</w:t>
      </w:r>
      <w:r>
        <w:t xml:space="preserve"> amplify the expression of variation in experimental replicas (product) and their associated behavioural channels (process) as well as sensory experiences (perception) by experiments in diverse contexts and </w:t>
      </w:r>
      <w:r>
        <w:rPr>
          <w:b/>
          <w:bCs/>
        </w:rPr>
        <w:t>b)</w:t>
      </w:r>
      <w:r>
        <w:t xml:space="preserve"> better identify the complex interacting relationships across these three levels of variations in real-world conditions. To accomplish these two objectives, I advocate the following three principles as integral components of the Triple P framework. Ontologically speaking, it requires 1) acknowledging the inherent trade-off between control and generalizability in actualistic research design and 2)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 (</w:t>
      </w:r>
      <w:hyperlink w:anchor="ref-antón2017">
        <w:r>
          <w:rPr>
            <w:rStyle w:val="Hyperlink"/>
          </w:rPr>
          <w:t>Antón &amp; Kuzawa, 2017</w:t>
        </w:r>
      </w:hyperlink>
      <w:r>
        <w:t>) to cognitive science (</w:t>
      </w:r>
      <w:hyperlink w:anchor="ref-barrett2020">
        <w:r>
          <w:rPr>
            <w:rStyle w:val="Hyperlink"/>
          </w:rPr>
          <w:t>Barrett, 2020</w:t>
        </w:r>
      </w:hyperlink>
      <w:r>
        <w:t>), instead of treating the optimization-based research agenda as a panacea. Epistemologically speaking, the Triple P framework 3) adopts a workflow that normalizes the collection and curation of ethological and ethnographic data in experimental projects. There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 (</w:t>
      </w:r>
      <w:hyperlink w:anchor="ref-schmidt2020">
        <w:r>
          <w:rPr>
            <w:rStyle w:val="Hyperlink"/>
          </w:rPr>
          <w:t>Schmidt &amp; Marwick, 2020</w:t>
        </w:r>
      </w:hyperlink>
      <w:r>
        <w:t>). Here I will mainly leverage the extensive corpus in experimental designs and inferences revolving around stone artefacts to clarify its meaning and demonstrate the necessity and potential of this framework.</w:t>
      </w:r>
    </w:p>
    <w:p w14:paraId="7D4A58EF" w14:textId="77777777" w:rsidR="000E78DC" w:rsidRDefault="00000000" w:rsidP="008F1F08">
      <w:pPr>
        <w:pStyle w:val="Heading1"/>
        <w:jc w:val="both"/>
      </w:pPr>
      <w:bookmarkStart w:id="1" w:name="what-good-is-actualistic-experimentation"/>
      <w:bookmarkEnd w:id="0"/>
      <w:r>
        <w:t>What good is actualistic experimentation?</w:t>
      </w:r>
    </w:p>
    <w:p w14:paraId="2842CAC0" w14:textId="77777777" w:rsidR="000E78DC" w:rsidRDefault="00000000" w:rsidP="008F1F08">
      <w:pPr>
        <w:pStyle w:val="FirstParagraph"/>
        <w:jc w:val="both"/>
      </w:pPr>
      <w:r>
        <w:t>The trade-off between causal inference (aka ‘internal validity’) and generalization (aka ‘external validity’) forms a central issue in experimental design across different disciplines (</w:t>
      </w:r>
      <w:hyperlink w:anchor="ref-eren2016">
        <w:r>
          <w:rPr>
            <w:rStyle w:val="Hyperlink"/>
          </w:rPr>
          <w:t>Eren et al., 2016</w:t>
        </w:r>
      </w:hyperlink>
      <w:r>
        <w:t xml:space="preserve">; </w:t>
      </w:r>
      <w:hyperlink w:anchor="ref-roe2009">
        <w:r>
          <w:rPr>
            <w:rStyle w:val="Hyperlink"/>
          </w:rPr>
          <w:t>Roe &amp; Just, 2009</w:t>
        </w:r>
      </w:hyperlink>
      <w:r>
        <w:t>: 1266-1267). Even in fields known for their development of rigorous and well-controlled experimental methods such as cognitive psychology and neuroscience, researchers have started to use naturalistic stimuli more frequently and advocate a paradigm shift to semi-controlled experiments due to the generalizability crisis, namely the prevailing mismatch between phenomenon of interest and measured variables in psychological science (</w:t>
      </w:r>
      <w:hyperlink w:anchor="ref-nastase2020">
        <w:r>
          <w:rPr>
            <w:rStyle w:val="Hyperlink"/>
          </w:rPr>
          <w:t>Nastase et al., 2020</w:t>
        </w:r>
      </w:hyperlink>
      <w:r>
        <w:t xml:space="preserve">; </w:t>
      </w:r>
      <w:hyperlink w:anchor="ref-shamay-tsoory2019">
        <w:r>
          <w:rPr>
            <w:rStyle w:val="Hyperlink"/>
          </w:rPr>
          <w:t>Shamay-Tsoory &amp; Mendelsohn, 2019</w:t>
        </w:r>
      </w:hyperlink>
      <w:r>
        <w:t xml:space="preserve">; </w:t>
      </w:r>
      <w:hyperlink w:anchor="ref-sonkusare2019">
        <w:r>
          <w:rPr>
            <w:rStyle w:val="Hyperlink"/>
          </w:rPr>
          <w:t>Sonkusare et al., 2019</w:t>
        </w:r>
      </w:hyperlink>
      <w:r>
        <w:t xml:space="preserve">; </w:t>
      </w:r>
      <w:hyperlink w:anchor="ref-yarkoni2022">
        <w:r>
          <w:rPr>
            <w:rStyle w:val="Hyperlink"/>
          </w:rPr>
          <w:t>Yarkoni, 2022</w:t>
        </w:r>
      </w:hyperlink>
      <w:r>
        <w:t>). In contrast, the past decades have witnessed experimental archaeology’s growing research interests focusing on the causal mechanism at the behavioural level in the explanation of material culture variation (</w:t>
      </w:r>
      <w:hyperlink w:anchor="ref-eren2016">
        <w:r>
          <w:rPr>
            <w:rStyle w:val="Hyperlink"/>
          </w:rPr>
          <w:t>Eren et al., 2016</w:t>
        </w:r>
      </w:hyperlink>
      <w:r>
        <w:t xml:space="preserve">; </w:t>
      </w:r>
      <w:hyperlink w:anchor="ref-lin2018">
        <w:r>
          <w:rPr>
            <w:rStyle w:val="Hyperlink"/>
          </w:rPr>
          <w:t>Lin et al., 2018</w:t>
        </w:r>
      </w:hyperlink>
      <w:r>
        <w:t>). In the context of stone artefact replication, one typical research design emphasizing causality over generalizability is the use of knapping machines/robots (</w:t>
      </w:r>
      <w:hyperlink w:anchor="ref-li2022">
        <w:r>
          <w:rPr>
            <w:rStyle w:val="Hyperlink"/>
          </w:rPr>
          <w:t>Li et al., 2022</w:t>
        </w:r>
      </w:hyperlink>
      <w:r>
        <w:t xml:space="preserve">; </w:t>
      </w:r>
      <w:hyperlink w:anchor="ref-pfleging2019">
        <w:r>
          <w:rPr>
            <w:rStyle w:val="Hyperlink"/>
          </w:rPr>
          <w:t>Pfleging et al., 2019</w:t>
        </w:r>
      </w:hyperlink>
      <w:r>
        <w:t xml:space="preserve">), which has helped map out the physical constraints of stone artefact manufacture and use through the identification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w:t>
      </w:r>
      <w:r>
        <w:lastRenderedPageBreak/>
        <w:t>reflected in real-world conditions. Similarly standardized artificial materials like bricks (</w:t>
      </w:r>
      <w:hyperlink w:anchor="ref-lombao2017">
        <w:r>
          <w:rPr>
            <w:rStyle w:val="Hyperlink"/>
          </w:rPr>
          <w:t>Lombao et al., 2017</w:t>
        </w:r>
      </w:hyperlink>
      <w:r>
        <w:t>) or foam blocks (</w:t>
      </w:r>
      <w:hyperlink w:anchor="ref-schillinger2016">
        <w:r>
          <w:rPr>
            <w:rStyle w:val="Hyperlink"/>
          </w:rPr>
          <w:t>Schillinger et al., 2016</w:t>
        </w:r>
      </w:hyperlink>
      <w:r>
        <w:t>) have been used to standardize materials and/or reduce learning demands in experimental studies focusing on the transmission of lithic technologies, with implications for the generalizability of results (</w:t>
      </w:r>
      <w:hyperlink w:anchor="ref-liu2023">
        <w:r>
          <w:rPr>
            <w:rStyle w:val="Hyperlink"/>
          </w:rPr>
          <w:t>Liu et al., 2023</w:t>
        </w:r>
      </w:hyperlink>
      <w:r>
        <w:t>). In real-world knapping, each rock has a different shape and often different physical properties such as inner cracks and inclusions, and this heterogeneity itself represents a critical variable in cultural transmission and skill development (</w:t>
      </w:r>
      <w:hyperlink w:anchor="ref-proffitt2022">
        <w:r>
          <w:rPr>
            <w:rStyle w:val="Hyperlink"/>
          </w:rPr>
          <w:t>Proffitt et al., 2022</w:t>
        </w:r>
      </w:hyperlink>
      <w:r>
        <w:t>).</w:t>
      </w:r>
    </w:p>
    <w:p w14:paraId="25690064" w14:textId="77777777" w:rsidR="000E78DC" w:rsidRDefault="00000000" w:rsidP="008F1F08">
      <w:pPr>
        <w:pStyle w:val="BodyText"/>
        <w:jc w:val="both"/>
      </w:pPr>
      <w:r>
        <w:t>On the other hand, actualistic experiments pay more attention to how experimental insights can be generalized to archaeological samples by incorporating authentic materials and plausible social settings with a certain degree of compromised control (</w:t>
      </w:r>
      <w:hyperlink w:anchor="ref-outram2008">
        <w:r>
          <w:rPr>
            <w:rStyle w:val="Hyperlink"/>
          </w:rPr>
          <w:t>Outram, 2008</w:t>
        </w:r>
      </w:hyperlink>
      <w:r>
        <w:t>).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actualistic experiments by design. This feature is crucial and cannot be simply replaced by ethnographic records, because many palaeolithic technological components do not have analogues in contemporary non-industrial societies (</w:t>
      </w:r>
      <w:hyperlink w:anchor="ref-arthur2018">
        <w:r>
          <w:rPr>
            <w:rStyle w:val="Hyperlink"/>
          </w:rPr>
          <w:t>Arthur, 2018</w:t>
        </w:r>
      </w:hyperlink>
      <w:r>
        <w:t xml:space="preserve">; e.g., </w:t>
      </w:r>
      <w:hyperlink w:anchor="ref-stout2002">
        <w:r>
          <w:rPr>
            <w:rStyle w:val="Hyperlink"/>
          </w:rPr>
          <w:t>Stout, 2002</w:t>
        </w:r>
      </w:hyperlink>
      <w:r>
        <w:t>). While uncontrolled variation has traditionally been viewed as highly problematic, statistical techniques for developing causal inference from observational data, of the kind produced by actualistic experiments, have also been greatly boosted in epidemiology and economics in recent years (</w:t>
      </w:r>
      <w:hyperlink w:anchor="ref-cunningham2021">
        <w:r>
          <w:rPr>
            <w:rStyle w:val="Hyperlink"/>
          </w:rPr>
          <w:t>Cunningham, 2021</w:t>
        </w:r>
      </w:hyperlink>
      <w:r>
        <w:t xml:space="preserve">; </w:t>
      </w:r>
      <w:hyperlink w:anchor="ref-hernan2023">
        <w:r>
          <w:rPr>
            <w:rStyle w:val="Hyperlink"/>
          </w:rPr>
          <w:t>Hernan &amp; Robins, 2023</w:t>
        </w:r>
      </w:hyperlink>
      <w:r>
        <w:t>). Actualistic experiment can serve a heuristic role in hypothesis generation, aligning with the perspective of Lin et al. (</w:t>
      </w:r>
      <w:hyperlink w:anchor="ref-lin2018">
        <w:r>
          <w:rPr>
            <w:rStyle w:val="Hyperlink"/>
          </w:rPr>
          <w:t>2018</w:t>
        </w:r>
      </w:hyperlink>
      <w:r>
        <w:t>: 680-681), who proposed that the interaction between actualistic and controlled experiment “operates in a cyclical form of induction and deduction.”</w:t>
      </w:r>
    </w:p>
    <w:p w14:paraId="4840D199" w14:textId="77777777" w:rsidR="000E78DC" w:rsidRDefault="00000000" w:rsidP="008F1F08">
      <w:pPr>
        <w:pStyle w:val="Heading1"/>
        <w:jc w:val="both"/>
      </w:pPr>
      <w:bookmarkStart w:id="2" w:name="many-places-many-voices"/>
      <w:bookmarkEnd w:id="1"/>
      <w:r>
        <w:t>Many places, many voices</w:t>
      </w:r>
    </w:p>
    <w:p w14:paraId="79B5A92E" w14:textId="77777777" w:rsidR="000E78DC" w:rsidRDefault="00000000" w:rsidP="008F1F08">
      <w:pPr>
        <w:pStyle w:val="FirstParagraph"/>
        <w:jc w:val="both"/>
      </w:pPr>
      <w:r>
        <w:t>Contemporary practices in experimental archaeology, as manifested by the fact that a majority of scholarly publications are produced as results of experiments conducted by a single knapper with a dual identity of researcher (</w:t>
      </w:r>
      <w:hyperlink w:anchor="ref-whittaker2004">
        <w:r>
          <w:rPr>
            <w:rStyle w:val="Hyperlink"/>
          </w:rPr>
          <w:t>Whittaker, 2004</w:t>
        </w:r>
      </w:hyperlink>
      <w:r>
        <w:t>), tend to be restrained by the cognitive bias known as the ‘curse of knowledge’ or ‘curse of expertise’. This psychological term originally refers to the phenomenon that it is extremely challenging for experts to ignore the information that is held by them but not others, particularly novices (</w:t>
      </w:r>
      <w:hyperlink w:anchor="ref-hinds1999">
        <w:r>
          <w:rPr>
            <w:rStyle w:val="Hyperlink"/>
          </w:rPr>
          <w:t>Hinds, 1999</w:t>
        </w:r>
      </w:hyperlink>
      <w:r>
        <w:t>),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w:t>
      </w:r>
      <w:hyperlink w:anchor="ref-moore2020">
        <w:r>
          <w:rPr>
            <w:rStyle w:val="Hyperlink"/>
          </w:rPr>
          <w:t>Moore, 2020</w:t>
        </w:r>
      </w:hyperlink>
      <w:r>
        <w:t xml:space="preserve">: 654). The existence of this cognitive bias is not inherently bad, and these many years of experience should be appreciated and celebrated by experimental archaeologists. However, what is problematic is that the results of replication experiments conducted by these </w:t>
      </w:r>
      <w:r>
        <w:lastRenderedPageBreak/>
        <w:t>experienced practitioners, often in settings of single knapper, has been constantly framed as generalization regarding the evolution of technology and cognition that masks a huge range of technological diversity.</w:t>
      </w:r>
    </w:p>
    <w:p w14:paraId="4928384E" w14:textId="77777777" w:rsidR="000E78DC" w:rsidRDefault="00000000" w:rsidP="008F1F08">
      <w:pPr>
        <w:pStyle w:val="BodyText"/>
        <w:jc w:val="both"/>
      </w:pPr>
      <w:r>
        <w:t>Modern flintknapping techniques, as a research subject and a scientific method, originated from hobbyists’ individualistic trials of reverse engineering during the 19th century (</w:t>
      </w:r>
      <w:hyperlink w:anchor="ref-coles1979">
        <w:r>
          <w:rPr>
            <w:rStyle w:val="Hyperlink"/>
          </w:rPr>
          <w:t>Coles, 1979</w:t>
        </w:r>
      </w:hyperlink>
      <w:r>
        <w:t xml:space="preserve">; </w:t>
      </w:r>
      <w:hyperlink w:anchor="ref-flenniken1984">
        <w:r>
          <w:rPr>
            <w:rStyle w:val="Hyperlink"/>
          </w:rPr>
          <w:t>Flenniken, 1984</w:t>
        </w:r>
      </w:hyperlink>
      <w:r>
        <w:t xml:space="preserve">; </w:t>
      </w:r>
      <w:hyperlink w:anchor="ref-johnson1978">
        <w:r>
          <w:rPr>
            <w:rStyle w:val="Hyperlink"/>
          </w:rPr>
          <w:t>Johnson, 1978</w:t>
        </w:r>
      </w:hyperlink>
      <w:r>
        <w:t xml:space="preserve">; </w:t>
      </w:r>
      <w:hyperlink w:anchor="ref-whittaker1994">
        <w:r>
          <w:rPr>
            <w:rStyle w:val="Hyperlink"/>
          </w:rPr>
          <w:t>Whittaker, 1994</w:t>
        </w:r>
      </w:hyperlink>
      <w:r>
        <w:t>: 54-61).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 (</w:t>
      </w:r>
      <w:hyperlink w:anchor="ref-crabtree1977">
        <w:r>
          <w:rPr>
            <w:rStyle w:val="Hyperlink"/>
          </w:rPr>
          <w:t>1977</w:t>
        </w:r>
      </w:hyperlink>
      <w:r>
        <w:t>),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 (</w:t>
      </w:r>
      <w:hyperlink w:anchor="ref-whittaker2004">
        <w:r>
          <w:rPr>
            <w:rStyle w:val="Hyperlink"/>
          </w:rPr>
          <w:t>2004</w:t>
        </w:r>
      </w:hyperlink>
      <w:r>
        <w:t>) ethnography. Likewise, novices’ lack of expertise also helps to mitigate the ‘curse of knowledge’ bias that may hinder expert knappers. Their involvement can potentially lead to the discovery of alternative methods, techniques, and interpretations that may have been overlooked by experts.</w:t>
      </w:r>
    </w:p>
    <w:p w14:paraId="2704E613" w14:textId="77777777" w:rsidR="000E78DC" w:rsidRDefault="00000000" w:rsidP="008F1F08">
      <w:pPr>
        <w:pStyle w:val="BodyText"/>
        <w:jc w:val="both"/>
      </w:pPr>
      <w:r>
        <w:t>Emphasizing variation at its core, the Triple P conceptual framework recognizes that experimental archaeology can greatly benefit from diverse perspectives (</w:t>
      </w:r>
      <w:hyperlink w:anchor="ref-pargeter2023">
        <w:r>
          <w:rPr>
            <w:rStyle w:val="Hyperlink"/>
          </w:rPr>
          <w:t>Pargeter et al., 2023</w:t>
        </w:r>
      </w:hyperlink>
      <w:r>
        <w:t>: 164) and thereby inherently adopts a collaborative mode of knowledge production, which has been recently advocated in experimental studies (</w:t>
      </w:r>
      <w:hyperlink w:anchor="ref-liuInferringCulturalReproduction2023">
        <w:r>
          <w:rPr>
            <w:rStyle w:val="Hyperlink"/>
          </w:rPr>
          <w:t>Liu &amp; Stout, 2023</w:t>
        </w:r>
      </w:hyperlink>
      <w:r>
        <w:t xml:space="preserve">; </w:t>
      </w:r>
      <w:hyperlink w:anchor="ref-ranhorn2020">
        <w:r>
          <w:rPr>
            <w:rStyle w:val="Hyperlink"/>
          </w:rPr>
          <w:t>Ranhorn et al., 2020</w:t>
        </w:r>
      </w:hyperlink>
      <w:r>
        <w:t>) and museum collection studies (</w:t>
      </w:r>
      <w:hyperlink w:anchor="ref-timbrell2023">
        <w:r>
          <w:rPr>
            <w:rStyle w:val="Hyperlink"/>
          </w:rPr>
          <w:t>Timbrell, 2023</w:t>
        </w:r>
      </w:hyperlink>
      <w:r>
        <w:t>) of stone artefacts. Furthermore, the Triple P framework acknowledges that communities living in specific geographical areas possess unique insights and understanding of their cultural heritage. This emphasis on team efforts and inclusivity allows for a more nuanced understanding of the complexities of raw material procurement (</w:t>
      </w:r>
      <w:hyperlink w:anchor="ref-batalla2016">
        <w:r>
          <w:rPr>
            <w:rStyle w:val="Hyperlink"/>
          </w:rPr>
          <w:t>Batalla, 2016</w:t>
        </w:r>
      </w:hyperlink>
      <w:r>
        <w:t>), selection (</w:t>
      </w:r>
      <w:hyperlink w:anchor="ref-arthur2021">
        <w:r>
          <w:rPr>
            <w:rStyle w:val="Hyperlink"/>
          </w:rPr>
          <w:t>Arthur, 2021</w:t>
        </w:r>
      </w:hyperlink>
      <w:r>
        <w:t>), pre-treatment (</w:t>
      </w:r>
      <w:hyperlink w:anchor="ref-maloney2020">
        <w:r>
          <w:rPr>
            <w:rStyle w:val="Hyperlink"/>
          </w:rPr>
          <w:t>Maloney &amp; Street, 2020</w:t>
        </w:r>
      </w:hyperlink>
      <w:r>
        <w:t>), production (</w:t>
      </w:r>
      <w:hyperlink w:anchor="ref-griffin2013">
        <w:r>
          <w:rPr>
            <w:rStyle w:val="Hyperlink"/>
          </w:rPr>
          <w:t>Griffin et al., 2013</w:t>
        </w:r>
      </w:hyperlink>
      <w:r>
        <w:t>), and use (</w:t>
      </w:r>
      <w:hyperlink w:anchor="ref-martellotta2022">
        <w:r>
          <w:rPr>
            <w:rStyle w:val="Hyperlink"/>
          </w:rPr>
          <w:t>Martellotta et al., 2022</w:t>
        </w:r>
      </w:hyperlink>
      <w:r>
        <w:t>) 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 (</w:t>
      </w:r>
      <w:hyperlink w:anchor="ref-montgomery2023">
        <w:r>
          <w:rPr>
            <w:rStyle w:val="Hyperlink"/>
          </w:rPr>
          <w:t>Montgomery &amp; Fryer, 2023</w:t>
        </w:r>
      </w:hyperlink>
      <w:r>
        <w:t>).</w:t>
      </w:r>
    </w:p>
    <w:p w14:paraId="01FB234C" w14:textId="77777777" w:rsidR="000E78DC" w:rsidRDefault="00000000" w:rsidP="008F1F08">
      <w:pPr>
        <w:pStyle w:val="Heading1"/>
        <w:jc w:val="both"/>
      </w:pPr>
      <w:bookmarkStart w:id="3" w:name="the-triple-p-framework-in-action"/>
      <w:bookmarkEnd w:id="2"/>
      <w:r>
        <w:t>The Triple P framework in action</w:t>
      </w:r>
    </w:p>
    <w:p w14:paraId="1A85DD86" w14:textId="77777777" w:rsidR="000E78DC" w:rsidRDefault="00000000" w:rsidP="008F1F08">
      <w:pPr>
        <w:pStyle w:val="FirstParagraph"/>
        <w:jc w:val="both"/>
      </w:pPr>
      <w:r>
        <w:t>The implementation of the Triple P framework involves the collection of process-level (ethological) and perception-level (ethnographic) data (</w:t>
      </w:r>
      <w:r>
        <w:rPr>
          <w:b/>
          <w:bCs/>
        </w:rPr>
        <w:t>Figure</w:t>
      </w:r>
      <w:r>
        <w:t xml:space="preserve"> @ref(fig:concept)), which is critical to address equifinality and multifinality (</w:t>
      </w:r>
      <w:hyperlink w:anchor="ref-nami2010">
        <w:r>
          <w:rPr>
            <w:rStyle w:val="Hyperlink"/>
          </w:rPr>
          <w:t>Nami, 2010</w:t>
        </w:r>
      </w:hyperlink>
      <w:r>
        <w:t xml:space="preserve">; </w:t>
      </w:r>
      <w:hyperlink w:anchor="X4038767f930da73f817e0ce09756b3b7f75fe29">
        <w:r>
          <w:rPr>
            <w:rStyle w:val="Hyperlink"/>
          </w:rPr>
          <w:t>Premo, 2010</w:t>
        </w:r>
      </w:hyperlink>
      <w:r>
        <w:t xml:space="preserve">), two daunting challenges in archaeological inference. Equifinality refers situation in which a similar state </w:t>
      </w:r>
      <w:r>
        <w:lastRenderedPageBreak/>
        <w:t>or consequence can be achieved through multiple different paths, while multifinality emerges when a similar process can lead to multiple ends. While we cannot fully solve these two problems and accurately reconstruct the past behavioural processes and intentions simply based on materials remains, context-rich experiments involving the collection of ethological and ethnographic data can help us better document an enlarged range of possible combinations of variation at these three levels and thereby draw a more informed inference of certain behavioural mechanisms behind a given archaeological assemblage (</w:t>
      </w:r>
      <w:hyperlink w:anchor="ref-reynolds1999">
        <w:r>
          <w:rPr>
            <w:rStyle w:val="Hyperlink"/>
          </w:rPr>
          <w:t>Reynolds, 1999</w:t>
        </w:r>
      </w:hyperlink>
      <w:r>
        <w:t xml:space="preserve">; </w:t>
      </w:r>
      <w:hyperlink w:anchor="ref-stout2023">
        <w:r>
          <w:rPr>
            <w:rStyle w:val="Hyperlink"/>
          </w:rPr>
          <w:t>Stout &amp; Hecht, 2023</w:t>
        </w:r>
      </w:hyperlink>
      <w:r>
        <w:t>). The importance of specifying and documenting the context information of both the experiment as well as the phenomenon of interest has also been recently highlighted in psychological sciences (</w:t>
      </w:r>
      <w:hyperlink w:anchor="ref-holleman2020">
        <w:r>
          <w:rPr>
            <w:rStyle w:val="Hyperlink"/>
          </w:rPr>
          <w:t>Holleman et al., 2020</w:t>
        </w:r>
      </w:hyperlink>
      <w:r>
        <w:t>).</w:t>
      </w:r>
    </w:p>
    <w:p w14:paraId="1C901907" w14:textId="77777777" w:rsidR="000E78DC" w:rsidRDefault="00000000" w:rsidP="008F1F08">
      <w:pPr>
        <w:pStyle w:val="CaptionedFigure"/>
        <w:jc w:val="both"/>
      </w:pPr>
      <w:r>
        <w:rPr>
          <w:noProof/>
        </w:rPr>
        <w:drawing>
          <wp:inline distT="0" distB="0" distL="0" distR="0" wp14:anchorId="4C4A3B65" wp14:editId="56D561A4">
            <wp:extent cx="4267200" cy="2454337"/>
            <wp:effectExtent l="0" t="0" r="0" b="0"/>
            <wp:docPr id="26" name="Picture" descr="A schematic diagram demonstrating how to operationalize the Perception-Process-Product conceptual framework."/>
            <wp:cNvGraphicFramePr/>
            <a:graphic xmlns:a="http://schemas.openxmlformats.org/drawingml/2006/main">
              <a:graphicData uri="http://schemas.openxmlformats.org/drawingml/2006/picture">
                <pic:pic xmlns:pic="http://schemas.openxmlformats.org/drawingml/2006/picture">
                  <pic:nvPicPr>
                    <pic:cNvPr id="27" name="Picture" descr="C:/FilesVC/PPP-framework/figure/Fig1.jpg"/>
                    <pic:cNvPicPr>
                      <a:picLocks noChangeAspect="1" noChangeArrowheads="1"/>
                    </pic:cNvPicPr>
                  </pic:nvPicPr>
                  <pic:blipFill>
                    <a:blip r:embed="rId7"/>
                    <a:stretch>
                      <a:fillRect/>
                    </a:stretch>
                  </pic:blipFill>
                  <pic:spPr bwMode="auto">
                    <a:xfrm>
                      <a:off x="0" y="0"/>
                      <a:ext cx="4267200" cy="2454337"/>
                    </a:xfrm>
                    <a:prstGeom prst="rect">
                      <a:avLst/>
                    </a:prstGeom>
                    <a:noFill/>
                    <a:ln w="9525">
                      <a:noFill/>
                      <a:headEnd/>
                      <a:tailEnd/>
                    </a:ln>
                  </pic:spPr>
                </pic:pic>
              </a:graphicData>
            </a:graphic>
          </wp:inline>
        </w:drawing>
      </w:r>
    </w:p>
    <w:p w14:paraId="5F1CE6A0" w14:textId="77777777" w:rsidR="000E78DC" w:rsidRDefault="00000000" w:rsidP="008F1F08">
      <w:pPr>
        <w:pStyle w:val="ImageCaption"/>
        <w:jc w:val="both"/>
      </w:pPr>
      <w:r>
        <w:t>A schematic diagram demonstrating how to operationalize the Perception-Process-Product conceptual framework.</w:t>
      </w:r>
    </w:p>
    <w:p w14:paraId="72C87418" w14:textId="77777777" w:rsidR="000E78DC" w:rsidRDefault="00000000" w:rsidP="008F1F08">
      <w:pPr>
        <w:pStyle w:val="Heading2"/>
        <w:jc w:val="both"/>
      </w:pPr>
      <w:bookmarkStart w:id="4" w:name="product-level-data"/>
      <w:r>
        <w:t>Product-level data</w:t>
      </w:r>
    </w:p>
    <w:p w14:paraId="0F1AB31C" w14:textId="77777777" w:rsidR="000E78DC" w:rsidRDefault="00000000" w:rsidP="008F1F08">
      <w:pPr>
        <w:pStyle w:val="FirstParagraph"/>
        <w:jc w:val="both"/>
      </w:pPr>
      <w:r>
        <w:t>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photos and illustrations, or high-resolution 3D scans of individual artefact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should be always available in the relevant meta-data. Adopting good habits in spreadsheet data organization is also strongly recommended (</w:t>
      </w:r>
      <w:hyperlink w:anchor="ref-broman2018">
        <w:r>
          <w:rPr>
            <w:rStyle w:val="Hyperlink"/>
          </w:rPr>
          <w:t>Broman &amp; Woo, 2018</w:t>
        </w:r>
      </w:hyperlink>
      <w:r>
        <w:t>).</w:t>
      </w:r>
    </w:p>
    <w:p w14:paraId="0E55EC5A" w14:textId="77777777" w:rsidR="000E78DC" w:rsidRDefault="00000000" w:rsidP="008F1F08">
      <w:pPr>
        <w:pStyle w:val="Heading2"/>
        <w:jc w:val="both"/>
      </w:pPr>
      <w:bookmarkStart w:id="5" w:name="process-level-data"/>
      <w:bookmarkEnd w:id="4"/>
      <w:r>
        <w:lastRenderedPageBreak/>
        <w:t>Process-level data</w:t>
      </w:r>
    </w:p>
    <w:p w14:paraId="1158EE7F" w14:textId="77777777" w:rsidR="000E78DC" w:rsidRDefault="00000000" w:rsidP="008F1F08">
      <w:pPr>
        <w:pStyle w:val="FirstParagraph"/>
        <w:jc w:val="both"/>
      </w:pPr>
      <w:r>
        <w:t>While systematic behavioural coding methods that are widely used in the study of non-human animal behaviour (</w:t>
      </w:r>
      <w:hyperlink w:anchor="ref-fragaszy2018">
        <w:r>
          <w:rPr>
            <w:rStyle w:val="Hyperlink"/>
          </w:rPr>
          <w:t>Fragaszy &amp; Mangalam, 2018</w:t>
        </w:r>
      </w:hyperlink>
      <w:r>
        <w:t>) are still largely neglected among archaeologists, attempts of reconstructing behavioural sequences involved in the manufacture of material remains are not infrequent. One such example is the cognigram, which was first systematically developed and applied in the archaeological research by Haidle (</w:t>
      </w:r>
      <w:hyperlink w:anchor="ref-haidleHowThinkSimple2009">
        <w:r>
          <w:rPr>
            <w:rStyle w:val="Hyperlink"/>
          </w:rPr>
          <w:t>Haidle, 2009</w:t>
        </w:r>
      </w:hyperlink>
      <w:r>
        <w:t xml:space="preserve">, </w:t>
      </w:r>
      <w:hyperlink w:anchor="ref-haidle2014">
        <w:r>
          <w:rPr>
            <w:rStyle w:val="Hyperlink"/>
          </w:rPr>
          <w:t>2014</w:t>
        </w:r>
      </w:hyperlink>
      <w:r>
        <w:t>). A cognigram is a graphical representation of the reconstructed behaviour behind archaeological artefacts in chronological order of appearance (</w:t>
      </w:r>
      <w:hyperlink w:anchor="ref-haidle2014">
        <w:r>
          <w:rPr>
            <w:rStyle w:val="Hyperlink"/>
          </w:rPr>
          <w:t>Haidle, 2014</w:t>
        </w:r>
      </w:hyperlink>
      <w:r>
        <w:t>), which essentially represents an abstracting process of a series of action sequences achieving a similar goal. This approach provides an elegant descriptive methodology yet is limited by its normative and analytical orientation, meaning it cannot handle variation very well. To some extent, it describes the minimal steps to achieve a goal from the perspective of reverse engineering and assumes uniform causal thinking between each step in an idealistic manner. However, this may be biased given that ethnographic studies demonstrated that expert non-academic practitioners can have a different set of causal understanding (</w:t>
      </w:r>
      <w:hyperlink w:anchor="ref-harris2021">
        <w:r>
          <w:rPr>
            <w:rStyle w:val="Hyperlink"/>
          </w:rPr>
          <w:t>Harris et al., 2021</w:t>
        </w:r>
      </w:hyperlink>
      <w:r>
        <w:t>).</w:t>
      </w:r>
    </w:p>
    <w:p w14:paraId="1BC241A6" w14:textId="77777777" w:rsidR="000E78DC" w:rsidRDefault="00000000" w:rsidP="008F1F08">
      <w:pPr>
        <w:pStyle w:val="BodyText"/>
        <w:jc w:val="both"/>
      </w:pPr>
      <w:r>
        <w:t>Consequently, we need to accumulate more real-world data by recording a large amount videos of toolmaking and conducting systematic ethogram analysis. With the emergence of new software platforms such as BORIS (</w:t>
      </w:r>
      <w:hyperlink w:anchor="ref-friard2016">
        <w:r>
          <w:rPr>
            <w:rStyle w:val="Hyperlink"/>
          </w:rPr>
          <w:t>Friard &amp; Gamba, 2016</w:t>
        </w:r>
      </w:hyperlink>
      <w:r>
        <w:t>), the difficulty of coding has decreased significantly in recent years (</w:t>
      </w:r>
      <w:r>
        <w:rPr>
          <w:b/>
          <w:bCs/>
        </w:rPr>
        <w:t>Figure</w:t>
      </w:r>
      <w:r>
        <w:t xml:space="preserve"> @ref(fig:ethogram)). Here I use a modified version of action grammar developed by (</w:t>
      </w:r>
      <w:hyperlink w:anchor="ref-stout2021">
        <w:r>
          <w:rPr>
            <w:rStyle w:val="Hyperlink"/>
          </w:rPr>
          <w:t>Stout et al., 2021</w:t>
        </w:r>
      </w:hyperlink>
      <w:r>
        <w:t>) as an example, among multiple coding schemes featuring different research focus (</w:t>
      </w:r>
      <w:hyperlink w:anchor="ref-muller2023">
        <w:r>
          <w:rPr>
            <w:rStyle w:val="Hyperlink"/>
          </w:rPr>
          <w:t>Muller et al., 2023</w:t>
        </w:r>
      </w:hyperlink>
      <w:r>
        <w:t>) or granularity (</w:t>
      </w:r>
      <w:hyperlink w:anchor="ref-cueva-temprana2019">
        <w:r>
          <w:rPr>
            <w:rStyle w:val="Hyperlink"/>
          </w:rPr>
          <w:t>Cueva-Temprana et al., 2019</w:t>
        </w:r>
      </w:hyperlink>
      <w:r>
        <w:t xml:space="preserve">; </w:t>
      </w:r>
      <w:hyperlink w:anchor="ref-mahaney2014">
        <w:r>
          <w:rPr>
            <w:rStyle w:val="Hyperlink"/>
          </w:rPr>
          <w:t>Mahaney, 2014</w:t>
        </w:r>
      </w:hyperlink>
      <w:r>
        <w:t xml:space="preserve">; </w:t>
      </w:r>
      <w:hyperlink w:anchor="ref-roux2005">
        <w:r>
          <w:rPr>
            <w:rStyle w:val="Hyperlink"/>
          </w:rPr>
          <w:t>Roux &amp; David, 2005</w:t>
        </w:r>
      </w:hyperlink>
      <w:r>
        <w:t xml:space="preserve">). The knapping action recorded in videos can be coded following the ethogram presented in </w:t>
      </w:r>
      <w:r>
        <w:rPr>
          <w:b/>
          <w:bCs/>
        </w:rPr>
        <w:t>Table</w:t>
      </w:r>
      <w:r>
        <w:t xml:space="preserve"> @ref(tab:tab1). Depending on the original research question, sequences of coded actions can then be used in further analysis, such as complexity (</w:t>
      </w:r>
      <w:hyperlink w:anchor="ref-stout2021">
        <w:r>
          <w:rPr>
            <w:rStyle w:val="Hyperlink"/>
          </w:rPr>
          <w:t>Stout et al., 2021</w:t>
        </w:r>
      </w:hyperlink>
      <w:r>
        <w:t>), similarity (</w:t>
      </w:r>
      <w:hyperlink w:anchor="ref-mobbs2021">
        <w:r>
          <w:rPr>
            <w:rStyle w:val="Hyperlink"/>
          </w:rPr>
          <w:t>Mobbs et al., 2021</w:t>
        </w:r>
      </w:hyperlink>
      <w:r>
        <w:t>), etc.</w:t>
      </w:r>
    </w:p>
    <w:p w14:paraId="065D4A09" w14:textId="77777777" w:rsidR="000E78DC" w:rsidRDefault="00000000" w:rsidP="008F1F08">
      <w:pPr>
        <w:pStyle w:val="CaptionedFigure"/>
        <w:jc w:val="both"/>
      </w:pPr>
      <w:r>
        <w:rPr>
          <w:noProof/>
        </w:rPr>
        <w:drawing>
          <wp:inline distT="0" distB="0" distL="0" distR="0" wp14:anchorId="530FA326" wp14:editId="19F2C917">
            <wp:extent cx="4169664" cy="2584704"/>
            <wp:effectExtent l="0" t="0" r="0" b="0"/>
            <wp:docPr id="30" name="Picture" descr="An example of coding a handaxe knapping session using the BORIS software."/>
            <wp:cNvGraphicFramePr/>
            <a:graphic xmlns:a="http://schemas.openxmlformats.org/drawingml/2006/main">
              <a:graphicData uri="http://schemas.openxmlformats.org/drawingml/2006/picture">
                <pic:pic xmlns:pic="http://schemas.openxmlformats.org/drawingml/2006/picture">
                  <pic:nvPicPr>
                    <pic:cNvPr id="31" name="Picture" descr="C:/FilesVC/PPP-framework/figure/Fig2.jpg"/>
                    <pic:cNvPicPr>
                      <a:picLocks noChangeAspect="1" noChangeArrowheads="1"/>
                    </pic:cNvPicPr>
                  </pic:nvPicPr>
                  <pic:blipFill>
                    <a:blip r:embed="rId8"/>
                    <a:stretch>
                      <a:fillRect/>
                    </a:stretch>
                  </pic:blipFill>
                  <pic:spPr bwMode="auto">
                    <a:xfrm>
                      <a:off x="0" y="0"/>
                      <a:ext cx="4169664" cy="2584704"/>
                    </a:xfrm>
                    <a:prstGeom prst="rect">
                      <a:avLst/>
                    </a:prstGeom>
                    <a:noFill/>
                    <a:ln w="9525">
                      <a:noFill/>
                      <a:headEnd/>
                      <a:tailEnd/>
                    </a:ln>
                  </pic:spPr>
                </pic:pic>
              </a:graphicData>
            </a:graphic>
          </wp:inline>
        </w:drawing>
      </w:r>
    </w:p>
    <w:p w14:paraId="43EDEEBF" w14:textId="77777777" w:rsidR="000E78DC" w:rsidRDefault="00000000" w:rsidP="008F1F08">
      <w:pPr>
        <w:pStyle w:val="ImageCaption"/>
        <w:jc w:val="both"/>
      </w:pPr>
      <w:r>
        <w:t>An example of coding a handaxe knapping session using the BORIS software.</w:t>
      </w:r>
    </w:p>
    <w:p w14:paraId="19ECE710" w14:textId="77777777" w:rsidR="000E78DC" w:rsidRDefault="00000000" w:rsidP="008F1F08">
      <w:pPr>
        <w:pStyle w:val="TableCaption"/>
        <w:jc w:val="both"/>
      </w:pPr>
      <w:r>
        <w:lastRenderedPageBreak/>
        <w:t>A modified version of the original action grammar presented in (</w:t>
      </w:r>
      <w:hyperlink w:anchor="ref-stout2021">
        <w:r>
          <w:rPr>
            <w:rStyle w:val="Hyperlink"/>
          </w:rPr>
          <w:t>Stout et al., 2021</w:t>
        </w:r>
      </w:hyperlink>
      <w:r>
        <w:t>)</w:t>
      </w:r>
    </w:p>
    <w:tbl>
      <w:tblPr>
        <w:tblStyle w:val="Table"/>
        <w:tblW w:w="5000" w:type="pct"/>
        <w:tblLook w:val="0020" w:firstRow="1" w:lastRow="0" w:firstColumn="0" w:lastColumn="0" w:noHBand="0" w:noVBand="0"/>
      </w:tblPr>
      <w:tblGrid>
        <w:gridCol w:w="1622"/>
        <w:gridCol w:w="7954"/>
      </w:tblGrid>
      <w:tr w:rsidR="000E78DC" w14:paraId="700311A1" w14:textId="77777777" w:rsidTr="000E78DC">
        <w:trPr>
          <w:cnfStyle w:val="100000000000" w:firstRow="1" w:lastRow="0" w:firstColumn="0" w:lastColumn="0" w:oddVBand="0" w:evenVBand="0" w:oddHBand="0" w:evenHBand="0" w:firstRowFirstColumn="0" w:firstRowLastColumn="0" w:lastRowFirstColumn="0" w:lastRowLastColumn="0"/>
          <w:tblHeader/>
        </w:trPr>
        <w:tc>
          <w:tcPr>
            <w:tcW w:w="0" w:type="auto"/>
          </w:tcPr>
          <w:p w14:paraId="306903D7" w14:textId="77777777" w:rsidR="000E78DC" w:rsidRDefault="00000000" w:rsidP="008F1F08">
            <w:pPr>
              <w:pStyle w:val="Compact"/>
              <w:jc w:val="both"/>
            </w:pPr>
            <w:r>
              <w:t>Action</w:t>
            </w:r>
          </w:p>
        </w:tc>
        <w:tc>
          <w:tcPr>
            <w:tcW w:w="0" w:type="auto"/>
          </w:tcPr>
          <w:p w14:paraId="47C51D55" w14:textId="77777777" w:rsidR="000E78DC" w:rsidRDefault="00000000" w:rsidP="008F1F08">
            <w:pPr>
              <w:pStyle w:val="Compact"/>
              <w:jc w:val="both"/>
            </w:pPr>
            <w:r>
              <w:t>Definition</w:t>
            </w:r>
          </w:p>
        </w:tc>
      </w:tr>
      <w:tr w:rsidR="000E78DC" w14:paraId="4FA773D1" w14:textId="77777777">
        <w:tc>
          <w:tcPr>
            <w:tcW w:w="0" w:type="auto"/>
          </w:tcPr>
          <w:p w14:paraId="40C83FD4" w14:textId="77777777" w:rsidR="000E78DC" w:rsidRDefault="00000000" w:rsidP="008F1F08">
            <w:pPr>
              <w:pStyle w:val="Compact"/>
              <w:jc w:val="both"/>
            </w:pPr>
            <w:r>
              <w:t>Percussion</w:t>
            </w:r>
          </w:p>
        </w:tc>
        <w:tc>
          <w:tcPr>
            <w:tcW w:w="0" w:type="auto"/>
          </w:tcPr>
          <w:p w14:paraId="5D45890C" w14:textId="77777777" w:rsidR="000E78DC" w:rsidRDefault="00000000" w:rsidP="008F1F08">
            <w:pPr>
              <w:pStyle w:val="Compact"/>
              <w:jc w:val="both"/>
            </w:pPr>
            <w:r>
              <w:t>Forcefully striking core with percussor (hammerstone or antler billet) in such a way as to potentially remove a flake</w:t>
            </w:r>
          </w:p>
        </w:tc>
      </w:tr>
      <w:tr w:rsidR="000E78DC" w14:paraId="6A8332E9" w14:textId="77777777">
        <w:tc>
          <w:tcPr>
            <w:tcW w:w="0" w:type="auto"/>
          </w:tcPr>
          <w:p w14:paraId="6612E653" w14:textId="77777777" w:rsidR="000E78DC" w:rsidRDefault="00000000" w:rsidP="008F1F08">
            <w:pPr>
              <w:pStyle w:val="Compact"/>
              <w:jc w:val="both"/>
            </w:pPr>
            <w:r>
              <w:t>Light Percussion</w:t>
            </w:r>
          </w:p>
        </w:tc>
        <w:tc>
          <w:tcPr>
            <w:tcW w:w="0" w:type="auto"/>
          </w:tcPr>
          <w:p w14:paraId="7E1AF057" w14:textId="77777777" w:rsidR="000E78DC" w:rsidRDefault="00000000" w:rsidP="008F1F08">
            <w:pPr>
              <w:pStyle w:val="Compact"/>
              <w:jc w:val="both"/>
            </w:pPr>
            <w:r>
              <w:t>Lower amplitude tangential strike to the tool edge of the kind often employed for platform preparation</w:t>
            </w:r>
          </w:p>
        </w:tc>
      </w:tr>
      <w:tr w:rsidR="000E78DC" w14:paraId="085DABE2" w14:textId="77777777">
        <w:tc>
          <w:tcPr>
            <w:tcW w:w="0" w:type="auto"/>
          </w:tcPr>
          <w:p w14:paraId="464517D8" w14:textId="77777777" w:rsidR="000E78DC" w:rsidRDefault="00000000" w:rsidP="008F1F08">
            <w:pPr>
              <w:pStyle w:val="Compact"/>
              <w:jc w:val="both"/>
            </w:pPr>
            <w:r>
              <w:t>Core Move</w:t>
            </w:r>
          </w:p>
        </w:tc>
        <w:tc>
          <w:tcPr>
            <w:tcW w:w="0" w:type="auto"/>
          </w:tcPr>
          <w:p w14:paraId="63B09554" w14:textId="77777777" w:rsidR="000E78DC" w:rsidRDefault="00000000" w:rsidP="008F1F08">
            <w:pPr>
              <w:pStyle w:val="Compact"/>
              <w:jc w:val="both"/>
            </w:pPr>
            <w:r>
              <w:t>Movement of the core without a change in grip. Often occurs during core inspection</w:t>
            </w:r>
          </w:p>
        </w:tc>
      </w:tr>
      <w:tr w:rsidR="000E78DC" w14:paraId="3B181228" w14:textId="77777777">
        <w:tc>
          <w:tcPr>
            <w:tcW w:w="0" w:type="auto"/>
          </w:tcPr>
          <w:p w14:paraId="0C97B3F4" w14:textId="77777777" w:rsidR="000E78DC" w:rsidRDefault="00000000" w:rsidP="008F1F08">
            <w:pPr>
              <w:pStyle w:val="Compact"/>
              <w:jc w:val="both"/>
            </w:pPr>
            <w:r>
              <w:t>Core Reposition</w:t>
            </w:r>
          </w:p>
        </w:tc>
        <w:tc>
          <w:tcPr>
            <w:tcW w:w="0" w:type="auto"/>
          </w:tcPr>
          <w:p w14:paraId="32DF499E" w14:textId="77777777" w:rsidR="000E78DC" w:rsidRDefault="00000000" w:rsidP="008F1F08">
            <w:pPr>
              <w:pStyle w:val="Compact"/>
              <w:jc w:val="both"/>
            </w:pPr>
            <w:r>
              <w:t>Rotation and/or reorientation of the core involving repositioning of the hand. Often associated with the transition to a new percussion target</w:t>
            </w:r>
          </w:p>
        </w:tc>
      </w:tr>
      <w:tr w:rsidR="000E78DC" w14:paraId="3E08E0CF" w14:textId="77777777">
        <w:tc>
          <w:tcPr>
            <w:tcW w:w="0" w:type="auto"/>
          </w:tcPr>
          <w:p w14:paraId="257D679E" w14:textId="77777777" w:rsidR="000E78DC" w:rsidRDefault="00000000" w:rsidP="008F1F08">
            <w:pPr>
              <w:pStyle w:val="Compact"/>
              <w:jc w:val="both"/>
            </w:pPr>
            <w:r>
              <w:t>Grinding</w:t>
            </w:r>
          </w:p>
        </w:tc>
        <w:tc>
          <w:tcPr>
            <w:tcW w:w="0" w:type="auto"/>
          </w:tcPr>
          <w:p w14:paraId="56FCDF21" w14:textId="77777777" w:rsidR="000E78DC" w:rsidRDefault="00000000" w:rsidP="008F1F08">
            <w:pPr>
              <w:pStyle w:val="Compact"/>
              <w:jc w:val="both"/>
            </w:pPr>
            <w:r>
              <w:t>Abrasion of core edges using a hammerstone</w:t>
            </w:r>
          </w:p>
        </w:tc>
      </w:tr>
      <w:tr w:rsidR="000E78DC" w14:paraId="6E36167A" w14:textId="77777777">
        <w:tc>
          <w:tcPr>
            <w:tcW w:w="0" w:type="auto"/>
          </w:tcPr>
          <w:p w14:paraId="75A54DA5" w14:textId="77777777" w:rsidR="000E78DC" w:rsidRDefault="00000000" w:rsidP="008F1F08">
            <w:pPr>
              <w:pStyle w:val="Compact"/>
              <w:jc w:val="both"/>
            </w:pPr>
            <w:r>
              <w:t>Tool Change</w:t>
            </w:r>
          </w:p>
        </w:tc>
        <w:tc>
          <w:tcPr>
            <w:tcW w:w="0" w:type="auto"/>
          </w:tcPr>
          <w:p w14:paraId="61A0BB16" w14:textId="77777777" w:rsidR="000E78DC" w:rsidRDefault="00000000" w:rsidP="008F1F08">
            <w:pPr>
              <w:pStyle w:val="Compact"/>
              <w:jc w:val="both"/>
            </w:pPr>
            <w:r>
              <w:t>Exchange of one percussor for another</w:t>
            </w:r>
          </w:p>
        </w:tc>
      </w:tr>
    </w:tbl>
    <w:p w14:paraId="2C093E35" w14:textId="77777777" w:rsidR="000E78DC" w:rsidRDefault="00000000" w:rsidP="008F1F08">
      <w:pPr>
        <w:pStyle w:val="Heading2"/>
        <w:jc w:val="both"/>
      </w:pPr>
      <w:bookmarkStart w:id="6" w:name="perception-level-data"/>
      <w:bookmarkEnd w:id="5"/>
      <w:r>
        <w:t>Perception-level data</w:t>
      </w:r>
    </w:p>
    <w:p w14:paraId="79A442B4" w14:textId="77777777" w:rsidR="000E78DC" w:rsidRDefault="00000000" w:rsidP="008F1F08">
      <w:pPr>
        <w:pStyle w:val="FirstParagraph"/>
        <w:jc w:val="both"/>
      </w:pPr>
      <w:r>
        <w:t>Ethnographies revolving around experimental archaeology as a field (</w:t>
      </w:r>
      <w:hyperlink w:anchor="ref-reevesflores2012">
        <w:r>
          <w:rPr>
            <w:rStyle w:val="Hyperlink"/>
          </w:rPr>
          <w:t>Reeves Flores, 2012</w:t>
        </w:r>
      </w:hyperlink>
      <w:r>
        <w:t>), as well as practices of specific technologies like flintknapping, including contemporary U.S. hobbyists (</w:t>
      </w:r>
      <w:hyperlink w:anchor="ref-whittaker2004">
        <w:r>
          <w:rPr>
            <w:rStyle w:val="Hyperlink"/>
          </w:rPr>
          <w:t>Whittaker, 2004</w:t>
        </w:r>
      </w:hyperlink>
      <w:r>
        <w:t>) and knapping practitioners in various non-industrial societies (</w:t>
      </w:r>
      <w:hyperlink w:anchor="ref-arthur2018">
        <w:r>
          <w:rPr>
            <w:rStyle w:val="Hyperlink"/>
          </w:rPr>
          <w:t>Arthur, 2018</w:t>
        </w:r>
      </w:hyperlink>
      <w:r>
        <w:t xml:space="preserve">; </w:t>
      </w:r>
      <w:hyperlink w:anchor="ref-stout2002">
        <w:r>
          <w:rPr>
            <w:rStyle w:val="Hyperlink"/>
          </w:rPr>
          <w:t>Stout, 2002</w:t>
        </w:r>
      </w:hyperlink>
      <w:r>
        <w:t>), are far from novel. However, ethnography has never been formally recognized as a legitimate research method in experimental archaeology. Echoing with the recent trends of adopting embodied cognition (</w:t>
      </w:r>
      <w:hyperlink w:anchor="ref-varela2017">
        <w:r>
          <w:rPr>
            <w:rStyle w:val="Hyperlink"/>
          </w:rPr>
          <w:t>Varela et al., 2017</w:t>
        </w:r>
      </w:hyperlink>
      <w:r>
        <w:t>) in archaeological research (</w:t>
      </w:r>
      <w:hyperlink w:anchor="ref-malafouris2013">
        <w:r>
          <w:rPr>
            <w:rStyle w:val="Hyperlink"/>
          </w:rPr>
          <w:t>Malafouris, 2013</w:t>
        </w:r>
      </w:hyperlink>
      <w:r>
        <w:t>), ethnographic data and methods can reveal hidden information (e.g., intention, phenomenology)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 (</w:t>
      </w:r>
      <w:hyperlink w:anchor="ref-stoutCognitiveScienceTechnology2021">
        <w:r>
          <w:rPr>
            <w:rStyle w:val="Hyperlink"/>
          </w:rPr>
          <w:t>Stout, 2021</w:t>
        </w:r>
      </w:hyperlink>
      <w:r>
        <w:t xml:space="preserve">; </w:t>
      </w:r>
      <w:hyperlink w:anchor="ref-syed2022">
        <w:r>
          <w:rPr>
            <w:rStyle w:val="Hyperlink"/>
          </w:rPr>
          <w:t>Syed &amp; McLean, 2022</w:t>
        </w:r>
      </w:hyperlink>
      <w:r>
        <w:t xml:space="preserve">; </w:t>
      </w:r>
      <w:hyperlink w:anchor="ref-weger2019">
        <w:r>
          <w:rPr>
            <w:rStyle w:val="Hyperlink"/>
          </w:rPr>
          <w:t>Weger et al., 2019</w:t>
        </w:r>
      </w:hyperlink>
      <w:r>
        <w:t>).</w:t>
      </w:r>
    </w:p>
    <w:p w14:paraId="2D9FF039" w14:textId="77777777" w:rsidR="000E78DC" w:rsidRDefault="00000000" w:rsidP="008F1F08">
      <w:pPr>
        <w:pStyle w:val="BodyText"/>
        <w:jc w:val="both"/>
      </w:pPr>
      <w:r>
        <w:t>Through participant observation, interviews, and detailed field notes, ethnography can capture the subtle nuances of perception, such as sensory experiences, social interactions, and cultural meanings associated with the experimental activities (</w:t>
      </w:r>
      <w:hyperlink w:anchor="ref-gowlland2019">
        <w:r>
          <w:rPr>
            <w:rStyle w:val="Hyperlink"/>
          </w:rPr>
          <w:t>Gowlland, 2019</w:t>
        </w:r>
      </w:hyperlink>
      <w:r>
        <w:t>).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artefacts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p w14:paraId="6BCF85DC" w14:textId="77777777" w:rsidR="000E78DC" w:rsidRDefault="00000000" w:rsidP="008F1F08">
      <w:pPr>
        <w:pStyle w:val="Heading2"/>
        <w:jc w:val="both"/>
      </w:pPr>
      <w:bookmarkStart w:id="7" w:name="multi-level-data-curation"/>
      <w:bookmarkEnd w:id="6"/>
      <w:r>
        <w:t>Multi-level data curation</w:t>
      </w:r>
    </w:p>
    <w:p w14:paraId="134F29E2" w14:textId="77777777" w:rsidR="000E78DC" w:rsidRDefault="00000000" w:rsidP="008F1F08">
      <w:pPr>
        <w:pStyle w:val="FirstParagraph"/>
        <w:jc w:val="both"/>
      </w:pPr>
      <w:r>
        <w:t xml:space="preserve">The comparative study and large-scale synthesis of variation data require the building of centralized, open-access, and carefully curated data infrastructure, which unfortunately still does not exist yet in experimental archaeology. Among the three dimensions of the </w:t>
      </w:r>
      <w:r>
        <w:lastRenderedPageBreak/>
        <w:t>Triple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 (</w:t>
      </w:r>
      <w:hyperlink w:anchor="ref-wilkinson2016">
        <w:r>
          <w:rPr>
            <w:rStyle w:val="Hyperlink"/>
          </w:rPr>
          <w:t>Wilkinson et al., 2016</w:t>
        </w:r>
      </w:hyperlink>
      <w:r>
        <w:t>) and CARE (</w:t>
      </w:r>
      <w:hyperlink w:anchor="ref-carroll2020">
        <w:r>
          <w:rPr>
            <w:rStyle w:val="Hyperlink"/>
          </w:rPr>
          <w:t>Carroll et al., 2020</w:t>
        </w:r>
      </w:hyperlink>
      <w:r>
        <w:t>), the Triple P framework recommends Databrary (</w:t>
      </w:r>
      <w:hyperlink w:anchor="ref-simon2015">
        <w:r>
          <w:rPr>
            <w:rStyle w:val="Hyperlink"/>
          </w:rPr>
          <w:t>Simon et al., 2015</w:t>
        </w:r>
      </w:hyperlink>
      <w:r>
        <w:t>), a web-based library originally designed for developmental scientists, as the main data curation platform, where researchers can freely upload video files and related metadata that can connect with different types of data within the same project.</w:t>
      </w:r>
    </w:p>
    <w:p w14:paraId="5F067860" w14:textId="77777777" w:rsidR="000E78DC" w:rsidRDefault="00000000" w:rsidP="008F1F08">
      <w:pPr>
        <w:pStyle w:val="Heading1"/>
        <w:jc w:val="both"/>
      </w:pPr>
      <w:bookmarkStart w:id="8" w:name="conclusion"/>
      <w:bookmarkEnd w:id="3"/>
      <w:bookmarkEnd w:id="7"/>
      <w:r>
        <w:t>Conclusion</w:t>
      </w:r>
    </w:p>
    <w:p w14:paraId="1644DA56" w14:textId="77777777" w:rsidR="000E78DC" w:rsidRDefault="00000000" w:rsidP="008F1F08">
      <w:pPr>
        <w:pStyle w:val="FirstParagraph"/>
        <w:jc w:val="both"/>
      </w:pPr>
      <w:r>
        <w:t xml:space="preserve">Through the broadening of traditional data types and recording methods revolving around experimental replicas </w:t>
      </w:r>
      <w:r>
        <w:rPr>
          <w:i/>
          <w:iCs/>
        </w:rPr>
        <w:t>per se</w:t>
      </w:r>
      <w:r>
        <w:t>, the Triple P conceptual framework allows the amplified multiscale expression of material cultural variation. It is also compatible with many theoretical orientations, ranging from behavioural archaeology (emphasis on video recording of behavioural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p w14:paraId="6A78D873" w14:textId="77777777" w:rsidR="000E78DC" w:rsidRDefault="00000000" w:rsidP="008F1F08">
      <w:pPr>
        <w:pStyle w:val="Heading1"/>
        <w:jc w:val="both"/>
      </w:pPr>
      <w:bookmarkStart w:id="9" w:name="acknowledgments"/>
      <w:bookmarkEnd w:id="8"/>
      <w:r>
        <w:t>Acknowledgments</w:t>
      </w:r>
    </w:p>
    <w:p w14:paraId="3914B15C" w14:textId="77777777" w:rsidR="000E78DC" w:rsidRDefault="00000000" w:rsidP="008F1F08">
      <w:pPr>
        <w:pStyle w:val="FirstParagraph"/>
        <w:jc w:val="both"/>
      </w:pPr>
      <w:r>
        <w:t>I thank Dietrich Stout for his helpful comments on earlier drafts of this article and Mark Moore for an inspiring discussion. This study was supported by a research grant from the Leakey Foundation titled ‘Inferring skill reproduction from stone artifacts: A middle‐range approach.’</w:t>
      </w:r>
    </w:p>
    <w:p w14:paraId="69E4DA61" w14:textId="77777777" w:rsidR="000E78DC" w:rsidRDefault="00000000" w:rsidP="008F1F08">
      <w:pPr>
        <w:pStyle w:val="Heading1"/>
        <w:jc w:val="both"/>
      </w:pPr>
      <w:bookmarkStart w:id="10" w:name="references"/>
      <w:bookmarkEnd w:id="9"/>
      <w:r>
        <w:t>References</w:t>
      </w:r>
    </w:p>
    <w:p w14:paraId="0B9AB1C7" w14:textId="77777777" w:rsidR="000E78DC" w:rsidRDefault="00000000" w:rsidP="008F1F08">
      <w:pPr>
        <w:pStyle w:val="Bibliography"/>
        <w:jc w:val="both"/>
      </w:pPr>
      <w:bookmarkStart w:id="11" w:name="ref-antón2017"/>
      <w:bookmarkStart w:id="12" w:name="refs"/>
      <w:r>
        <w:t xml:space="preserve">Antón, S. C., &amp; Kuzawa, C. W. (2017). Early homo, plasticity and the extended evolutionary synthesis. </w:t>
      </w:r>
      <w:r>
        <w:rPr>
          <w:i/>
          <w:iCs/>
        </w:rPr>
        <w:t>Interface Focus</w:t>
      </w:r>
      <w:r>
        <w:t xml:space="preserve">, </w:t>
      </w:r>
      <w:r>
        <w:rPr>
          <w:i/>
          <w:iCs/>
        </w:rPr>
        <w:t>7</w:t>
      </w:r>
      <w:r>
        <w:t xml:space="preserve">(5), 20170004. </w:t>
      </w:r>
      <w:hyperlink r:id="rId9">
        <w:r>
          <w:rPr>
            <w:rStyle w:val="Hyperlink"/>
          </w:rPr>
          <w:t>https://doi.org/10.1098/rsfs.2017.0004</w:t>
        </w:r>
      </w:hyperlink>
    </w:p>
    <w:p w14:paraId="48A2E068" w14:textId="77777777" w:rsidR="000E78DC" w:rsidRDefault="00000000" w:rsidP="008F1F08">
      <w:pPr>
        <w:pStyle w:val="Bibliography"/>
        <w:jc w:val="both"/>
      </w:pPr>
      <w:bookmarkStart w:id="13" w:name="ref-arthur2018"/>
      <w:bookmarkEnd w:id="11"/>
      <w:r>
        <w:t xml:space="preserve">Arthur, K. W. (2018). </w:t>
      </w:r>
      <w:r>
        <w:rPr>
          <w:i/>
          <w:iCs/>
        </w:rPr>
        <w:t>The lives of stone tools: Crafting the status, skill, and identity of flintknappers</w:t>
      </w:r>
      <w:r>
        <w:t xml:space="preserve"> (1st edition). University of Arizona Press.</w:t>
      </w:r>
    </w:p>
    <w:p w14:paraId="2B87C9B4" w14:textId="77777777" w:rsidR="000E78DC" w:rsidRDefault="00000000" w:rsidP="008F1F08">
      <w:pPr>
        <w:pStyle w:val="Bibliography"/>
        <w:jc w:val="both"/>
      </w:pPr>
      <w:bookmarkStart w:id="14" w:name="ref-arthur2021"/>
      <w:bookmarkEnd w:id="13"/>
      <w:r>
        <w:t xml:space="preserve">Arthur, K. W. (2021). Material Scientists: Learning the Importance of Colour and Brightness from Lithic Practitioners. </w:t>
      </w:r>
      <w:r>
        <w:rPr>
          <w:i/>
          <w:iCs/>
        </w:rPr>
        <w:t>Cambridge Archaeological Journal</w:t>
      </w:r>
      <w:r>
        <w:t xml:space="preserve">, </w:t>
      </w:r>
      <w:r>
        <w:rPr>
          <w:i/>
          <w:iCs/>
        </w:rPr>
        <w:t>31</w:t>
      </w:r>
      <w:r>
        <w:t xml:space="preserve">(2), 293–304. </w:t>
      </w:r>
      <w:hyperlink r:id="rId10">
        <w:r>
          <w:rPr>
            <w:rStyle w:val="Hyperlink"/>
          </w:rPr>
          <w:t>https://doi.org/10.1017/S0959774320000347</w:t>
        </w:r>
      </w:hyperlink>
    </w:p>
    <w:p w14:paraId="1351C2A7" w14:textId="77777777" w:rsidR="000E78DC" w:rsidRDefault="00000000" w:rsidP="008F1F08">
      <w:pPr>
        <w:pStyle w:val="Bibliography"/>
        <w:jc w:val="both"/>
      </w:pPr>
      <w:bookmarkStart w:id="15" w:name="ref-barrett2020"/>
      <w:bookmarkEnd w:id="14"/>
      <w:r>
        <w:lastRenderedPageBreak/>
        <w:t xml:space="preserve">Barrett, H. C. (2020). Towards a Cognitive Science of the Human: Cross-Cultural Approaches and Their Urgency. </w:t>
      </w:r>
      <w:r>
        <w:rPr>
          <w:i/>
          <w:iCs/>
        </w:rPr>
        <w:t>Trends in Cognitive Sciences</w:t>
      </w:r>
      <w:r>
        <w:t xml:space="preserve">, </w:t>
      </w:r>
      <w:r>
        <w:rPr>
          <w:i/>
          <w:iCs/>
        </w:rPr>
        <w:t>24</w:t>
      </w:r>
      <w:r>
        <w:t xml:space="preserve">(8), 620–638. </w:t>
      </w:r>
      <w:hyperlink r:id="rId11">
        <w:r>
          <w:rPr>
            <w:rStyle w:val="Hyperlink"/>
          </w:rPr>
          <w:t>https://doi.org/10.1016/j.tics.2020.05.007</w:t>
        </w:r>
      </w:hyperlink>
    </w:p>
    <w:p w14:paraId="42A5465A" w14:textId="77777777" w:rsidR="000E78DC" w:rsidRDefault="00000000" w:rsidP="008F1F08">
      <w:pPr>
        <w:pStyle w:val="Bibliography"/>
        <w:jc w:val="both"/>
      </w:pPr>
      <w:bookmarkStart w:id="16" w:name="ref-batalla2016"/>
      <w:bookmarkEnd w:id="15"/>
      <w:r>
        <w:t xml:space="preserve">Batalla, A. N. (2016). Studies of indigenous lithic procurement in Uruguay and their implications for Southern Cone archaeology. </w:t>
      </w:r>
      <w:r>
        <w:rPr>
          <w:i/>
          <w:iCs/>
        </w:rPr>
        <w:t>Journal of Lithic Studies</w:t>
      </w:r>
      <w:r>
        <w:t xml:space="preserve">, </w:t>
      </w:r>
      <w:r>
        <w:rPr>
          <w:i/>
          <w:iCs/>
        </w:rPr>
        <w:t>3</w:t>
      </w:r>
      <w:r>
        <w:t xml:space="preserve">(1), 265–292. </w:t>
      </w:r>
      <w:hyperlink r:id="rId12">
        <w:r>
          <w:rPr>
            <w:rStyle w:val="Hyperlink"/>
          </w:rPr>
          <w:t>https://doi.org/10.2218/jls.v3i1.1522</w:t>
        </w:r>
      </w:hyperlink>
    </w:p>
    <w:p w14:paraId="5988C1B0" w14:textId="77777777" w:rsidR="000E78DC" w:rsidRDefault="00000000" w:rsidP="008F1F08">
      <w:pPr>
        <w:pStyle w:val="Bibliography"/>
        <w:jc w:val="both"/>
      </w:pPr>
      <w:bookmarkStart w:id="17" w:name="ref-broman2018"/>
      <w:bookmarkEnd w:id="16"/>
      <w:r>
        <w:t xml:space="preserve">Broman, K. W., &amp; Woo, K. H. (2018). Data organization in spreadsheets. </w:t>
      </w:r>
      <w:r>
        <w:rPr>
          <w:i/>
          <w:iCs/>
        </w:rPr>
        <w:t>The American Statistician</w:t>
      </w:r>
      <w:r>
        <w:t xml:space="preserve">, </w:t>
      </w:r>
      <w:r>
        <w:rPr>
          <w:i/>
          <w:iCs/>
        </w:rPr>
        <w:t>72</w:t>
      </w:r>
      <w:r>
        <w:t xml:space="preserve">(1), 2–10. </w:t>
      </w:r>
      <w:hyperlink r:id="rId13">
        <w:r>
          <w:rPr>
            <w:rStyle w:val="Hyperlink"/>
          </w:rPr>
          <w:t>https://doi.org/10.1080/00031305.2017.1375989</w:t>
        </w:r>
      </w:hyperlink>
    </w:p>
    <w:p w14:paraId="6E7B525A" w14:textId="77777777" w:rsidR="000E78DC" w:rsidRDefault="00000000" w:rsidP="008F1F08">
      <w:pPr>
        <w:pStyle w:val="Bibliography"/>
        <w:jc w:val="both"/>
      </w:pPr>
      <w:bookmarkStart w:id="18" w:name="ref-carroll2020"/>
      <w:bookmarkEnd w:id="17"/>
      <w:r>
        <w:t xml:space="preserve">Carroll, S. R., Garba, I., Figueroa-Rodríguez, O. L., Holbrook, J., Lovett, R., Materechera, S., Parsons, M., Raseroka, K., Rodriguez-Lonebear, D., Rowe, R., Sara, R., Walker, J. D., Anderson, J., &amp; Hudson, M. (2020). The CARE Principles for Indigenous Data Governance. </w:t>
      </w:r>
      <w:r>
        <w:rPr>
          <w:i/>
          <w:iCs/>
        </w:rPr>
        <w:t>Data Science Journal</w:t>
      </w:r>
      <w:r>
        <w:t xml:space="preserve">, </w:t>
      </w:r>
      <w:r>
        <w:rPr>
          <w:i/>
          <w:iCs/>
        </w:rPr>
        <w:t>19</w:t>
      </w:r>
      <w:r>
        <w:t xml:space="preserve">(1), 43. </w:t>
      </w:r>
      <w:hyperlink r:id="rId14">
        <w:r>
          <w:rPr>
            <w:rStyle w:val="Hyperlink"/>
          </w:rPr>
          <w:t>https://doi.org/10.5334/dsj-2020-043</w:t>
        </w:r>
      </w:hyperlink>
    </w:p>
    <w:p w14:paraId="0C134999" w14:textId="77777777" w:rsidR="000E78DC" w:rsidRDefault="00000000" w:rsidP="008F1F08">
      <w:pPr>
        <w:pStyle w:val="Bibliography"/>
        <w:jc w:val="both"/>
      </w:pPr>
      <w:bookmarkStart w:id="19" w:name="ref-coles1979"/>
      <w:bookmarkEnd w:id="18"/>
      <w:r>
        <w:t xml:space="preserve">Coles, J. M. (1979). </w:t>
      </w:r>
      <w:r>
        <w:rPr>
          <w:i/>
          <w:iCs/>
        </w:rPr>
        <w:t>Experimental archaeology</w:t>
      </w:r>
      <w:r>
        <w:t>. Academic Press.</w:t>
      </w:r>
    </w:p>
    <w:p w14:paraId="5AFB32A5" w14:textId="77777777" w:rsidR="000E78DC" w:rsidRDefault="00000000" w:rsidP="008F1F08">
      <w:pPr>
        <w:pStyle w:val="Bibliography"/>
        <w:jc w:val="both"/>
      </w:pPr>
      <w:bookmarkStart w:id="20" w:name="ref-crabtree1977"/>
      <w:bookmarkEnd w:id="19"/>
      <w:r>
        <w:t xml:space="preserve">Crabtree, D. E. (1977). </w:t>
      </w:r>
      <w:r>
        <w:rPr>
          <w:i/>
          <w:iCs/>
        </w:rPr>
        <w:t>The obtuse angle as a functional edge</w:t>
      </w:r>
      <w:r>
        <w:t xml:space="preserve"> (D. Ingersoll, J. E. Yellen, &amp; W. MacDonald, Eds.; pp. 38–51). Columbia University Press.</w:t>
      </w:r>
    </w:p>
    <w:p w14:paraId="71D2C964" w14:textId="77777777" w:rsidR="000E78DC" w:rsidRDefault="00000000" w:rsidP="008F1F08">
      <w:pPr>
        <w:pStyle w:val="Bibliography"/>
        <w:jc w:val="both"/>
      </w:pPr>
      <w:bookmarkStart w:id="21" w:name="ref-cueva-temprana2019"/>
      <w:bookmarkEnd w:id="20"/>
      <w:r>
        <w:t xml:space="preserve">Cueva-Temprana, A., Lombao, D., Morales, J. I., Geribàs, N., &amp; Mosquera, M. (2019). Gestures during knapping: A two-perspective approach to pleistocene technologies. </w:t>
      </w:r>
      <w:r>
        <w:rPr>
          <w:i/>
          <w:iCs/>
        </w:rPr>
        <w:t>Lithic Technology</w:t>
      </w:r>
      <w:r>
        <w:t xml:space="preserve">, </w:t>
      </w:r>
      <w:r>
        <w:rPr>
          <w:i/>
          <w:iCs/>
        </w:rPr>
        <w:t>44</w:t>
      </w:r>
      <w:r>
        <w:t xml:space="preserve">(2), 74–89. </w:t>
      </w:r>
      <w:hyperlink r:id="rId15">
        <w:r>
          <w:rPr>
            <w:rStyle w:val="Hyperlink"/>
          </w:rPr>
          <w:t>https://doi.org/10.1080/01977261.2019.1587255</w:t>
        </w:r>
      </w:hyperlink>
    </w:p>
    <w:p w14:paraId="3E84FF48" w14:textId="77777777" w:rsidR="000E78DC" w:rsidRDefault="00000000" w:rsidP="008F1F08">
      <w:pPr>
        <w:pStyle w:val="Bibliography"/>
        <w:jc w:val="both"/>
      </w:pPr>
      <w:bookmarkStart w:id="22" w:name="ref-cunningham2021"/>
      <w:bookmarkEnd w:id="21"/>
      <w:r>
        <w:t xml:space="preserve">Cunningham, S. (2021). </w:t>
      </w:r>
      <w:r>
        <w:rPr>
          <w:i/>
          <w:iCs/>
        </w:rPr>
        <w:t>Causal inference: The mixtape</w:t>
      </w:r>
      <w:r>
        <w:t xml:space="preserve">. Yale University Press. </w:t>
      </w:r>
      <w:hyperlink r:id="rId16">
        <w:r>
          <w:rPr>
            <w:rStyle w:val="Hyperlink"/>
          </w:rPr>
          <w:t>https://doi.org/10.2307/j.ctv1c29t27</w:t>
        </w:r>
      </w:hyperlink>
    </w:p>
    <w:p w14:paraId="0F425409" w14:textId="77777777" w:rsidR="000E78DC" w:rsidRDefault="00000000" w:rsidP="008F1F08">
      <w:pPr>
        <w:pStyle w:val="Bibliography"/>
        <w:jc w:val="both"/>
      </w:pPr>
      <w:bookmarkStart w:id="23" w:name="ref-domínguez-rodrigo2008"/>
      <w:bookmarkEnd w:id="22"/>
      <w:r>
        <w:t xml:space="preserve">Domínguez-Rodrigo, M. (2008). Conceptual premises in experimental design and their bearing on the use of analogy: An example from experiments on cut marks. </w:t>
      </w:r>
      <w:r>
        <w:rPr>
          <w:i/>
          <w:iCs/>
        </w:rPr>
        <w:t>World Archaeology</w:t>
      </w:r>
      <w:r>
        <w:t xml:space="preserve">, </w:t>
      </w:r>
      <w:r>
        <w:rPr>
          <w:i/>
          <w:iCs/>
        </w:rPr>
        <w:t>40</w:t>
      </w:r>
      <w:r>
        <w:t xml:space="preserve">(1), 67–82. </w:t>
      </w:r>
      <w:hyperlink r:id="rId17">
        <w:r>
          <w:rPr>
            <w:rStyle w:val="Hyperlink"/>
          </w:rPr>
          <w:t>https://doi.org/10.1080/00438240701843629</w:t>
        </w:r>
      </w:hyperlink>
    </w:p>
    <w:p w14:paraId="7E9E9FCD" w14:textId="77777777" w:rsidR="000E78DC" w:rsidRDefault="00000000" w:rsidP="008F1F08">
      <w:pPr>
        <w:pStyle w:val="Bibliography"/>
        <w:jc w:val="both"/>
      </w:pPr>
      <w:bookmarkStart w:id="24" w:name="ref-eren2016"/>
      <w:bookmarkEnd w:id="23"/>
      <w:r>
        <w:t xml:space="preserve">Eren, M. I., Lycett, S. J., Patten, R. J., Buchanan, B., Pargeter, J., &amp; O’Brien, M. J. (2016). Test, model, and method validation: The role of experimental stone artifact replication in hypothesis-driven archaeology. </w:t>
      </w:r>
      <w:r>
        <w:rPr>
          <w:i/>
          <w:iCs/>
        </w:rPr>
        <w:t>Ethnoarchaeology: Journal of Archaeological, Ethnographic and Experimental Studies</w:t>
      </w:r>
      <w:r>
        <w:t xml:space="preserve">, </w:t>
      </w:r>
      <w:r>
        <w:rPr>
          <w:i/>
          <w:iCs/>
        </w:rPr>
        <w:t>8</w:t>
      </w:r>
      <w:r>
        <w:t xml:space="preserve">(2), 103–136. </w:t>
      </w:r>
      <w:hyperlink r:id="rId18">
        <w:r>
          <w:rPr>
            <w:rStyle w:val="Hyperlink"/>
          </w:rPr>
          <w:t>https://doi.org/10.1080/19442890.2016.1213972</w:t>
        </w:r>
      </w:hyperlink>
    </w:p>
    <w:p w14:paraId="26658711" w14:textId="77777777" w:rsidR="000E78DC" w:rsidRDefault="00000000" w:rsidP="008F1F08">
      <w:pPr>
        <w:pStyle w:val="Bibliography"/>
        <w:jc w:val="both"/>
      </w:pPr>
      <w:bookmarkStart w:id="25" w:name="ref-flenniken1984"/>
      <w:bookmarkEnd w:id="24"/>
      <w:r>
        <w:t xml:space="preserve">Flenniken, J. J. (1984). The past, present, and future of flintknapping: An anthropological perspective. </w:t>
      </w:r>
      <w:r>
        <w:rPr>
          <w:i/>
          <w:iCs/>
        </w:rPr>
        <w:t>Annual Review of Anthropology</w:t>
      </w:r>
      <w:r>
        <w:t xml:space="preserve">, </w:t>
      </w:r>
      <w:r>
        <w:rPr>
          <w:i/>
          <w:iCs/>
        </w:rPr>
        <w:t>13</w:t>
      </w:r>
      <w:r>
        <w:t xml:space="preserve">(1), 187–203. </w:t>
      </w:r>
      <w:hyperlink r:id="rId19">
        <w:r>
          <w:rPr>
            <w:rStyle w:val="Hyperlink"/>
          </w:rPr>
          <w:t>https://doi.org/10.1146/annurev.an.13.100184.001155</w:t>
        </w:r>
      </w:hyperlink>
    </w:p>
    <w:p w14:paraId="1FFB59F0" w14:textId="77777777" w:rsidR="000E78DC" w:rsidRDefault="00000000" w:rsidP="008F1F08">
      <w:pPr>
        <w:pStyle w:val="Bibliography"/>
        <w:jc w:val="both"/>
      </w:pPr>
      <w:bookmarkStart w:id="26" w:name="ref-fragaszy2018"/>
      <w:bookmarkEnd w:id="25"/>
      <w:r>
        <w:t xml:space="preserve">Fragaszy, D. M., &amp; Mangalam, M. (2018). </w:t>
      </w:r>
      <w:r>
        <w:rPr>
          <w:i/>
          <w:iCs/>
        </w:rPr>
        <w:t>Chapter Five - Tooling</w:t>
      </w:r>
      <w:r>
        <w:t xml:space="preserve"> (M. Naguib, L. Barrett, S. D. Healy, J. Podos, L. W. Simmons, &amp; M. Zuk, Eds.; Vol. 50, pp. 177–241). Academic Press. </w:t>
      </w:r>
      <w:hyperlink r:id="rId20">
        <w:r>
          <w:rPr>
            <w:rStyle w:val="Hyperlink"/>
          </w:rPr>
          <w:t>https://doi.org/10.1016/bs.asb.2018.01.001</w:t>
        </w:r>
      </w:hyperlink>
    </w:p>
    <w:p w14:paraId="08B61FF6" w14:textId="77777777" w:rsidR="000E78DC" w:rsidRDefault="00000000" w:rsidP="008F1F08">
      <w:pPr>
        <w:pStyle w:val="Bibliography"/>
        <w:jc w:val="both"/>
      </w:pPr>
      <w:bookmarkStart w:id="27" w:name="ref-friard2016"/>
      <w:bookmarkEnd w:id="26"/>
      <w:r>
        <w:t xml:space="preserve">Friard, O., &amp; Gamba, M. (2016). BORIS: a free, versatile open-source event-logging software for video/audio coding and live observations. </w:t>
      </w:r>
      <w:r>
        <w:rPr>
          <w:i/>
          <w:iCs/>
        </w:rPr>
        <w:t>Methods in Ecology and Evolution</w:t>
      </w:r>
      <w:r>
        <w:t xml:space="preserve">, </w:t>
      </w:r>
      <w:r>
        <w:rPr>
          <w:i/>
          <w:iCs/>
        </w:rPr>
        <w:t>7</w:t>
      </w:r>
      <w:r>
        <w:t xml:space="preserve">(11), 1325–1330. </w:t>
      </w:r>
      <w:hyperlink r:id="rId21">
        <w:r>
          <w:rPr>
            <w:rStyle w:val="Hyperlink"/>
          </w:rPr>
          <w:t>https://doi.org/10.1111/2041-210X.12584</w:t>
        </w:r>
      </w:hyperlink>
    </w:p>
    <w:p w14:paraId="4DF4D6B1" w14:textId="77777777" w:rsidR="000E78DC" w:rsidRDefault="00000000" w:rsidP="008F1F08">
      <w:pPr>
        <w:pStyle w:val="Bibliography"/>
        <w:jc w:val="both"/>
      </w:pPr>
      <w:bookmarkStart w:id="28" w:name="ref-gergely2006"/>
      <w:bookmarkEnd w:id="27"/>
      <w:r>
        <w:lastRenderedPageBreak/>
        <w:t xml:space="preserve">Gergely, G., &amp; Csibra, G. (2006). </w:t>
      </w:r>
      <w:r>
        <w:rPr>
          <w:i/>
          <w:iCs/>
        </w:rPr>
        <w:t>Sylvia’s recipe: The role of imitation and pedagogy in the transmission of cultural knowledge</w:t>
      </w:r>
      <w:r>
        <w:t xml:space="preserve"> (S. C. Levinson &amp; N. J. Enfield, Eds.; pp. 229–255). Berg Publishers.</w:t>
      </w:r>
    </w:p>
    <w:p w14:paraId="44DD123A" w14:textId="77777777" w:rsidR="000E78DC" w:rsidRDefault="00000000" w:rsidP="008F1F08">
      <w:pPr>
        <w:pStyle w:val="Bibliography"/>
        <w:jc w:val="both"/>
      </w:pPr>
      <w:bookmarkStart w:id="29" w:name="ref-gowlland2019"/>
      <w:bookmarkEnd w:id="28"/>
      <w:r>
        <w:t xml:space="preserve">Gowlland, G. (2019). The sociality of enskilment. </w:t>
      </w:r>
      <w:r>
        <w:rPr>
          <w:i/>
          <w:iCs/>
        </w:rPr>
        <w:t>Ethnos</w:t>
      </w:r>
      <w:r>
        <w:t xml:space="preserve">, </w:t>
      </w:r>
      <w:r>
        <w:rPr>
          <w:i/>
          <w:iCs/>
        </w:rPr>
        <w:t>84</w:t>
      </w:r>
      <w:r>
        <w:t xml:space="preserve">(3), 508–524. </w:t>
      </w:r>
      <w:hyperlink r:id="rId22">
        <w:r>
          <w:rPr>
            <w:rStyle w:val="Hyperlink"/>
          </w:rPr>
          <w:t>https://doi.org/10.1080/00141844.2018.1455726</w:t>
        </w:r>
      </w:hyperlink>
    </w:p>
    <w:p w14:paraId="7011114F" w14:textId="77777777" w:rsidR="000E78DC" w:rsidRDefault="00000000" w:rsidP="008F1F08">
      <w:pPr>
        <w:pStyle w:val="Bibliography"/>
        <w:jc w:val="both"/>
      </w:pPr>
      <w:bookmarkStart w:id="30" w:name="ref-griffin2013"/>
      <w:bookmarkEnd w:id="29"/>
      <w:r>
        <w:t xml:space="preserve">Griffin, D., Freedman, D. L., Nicholson, B., McConachie, F., &amp; Parmington, A. (2013). The koorong project: Experimental archaeology and wurundjeri continuation of cultural practices. </w:t>
      </w:r>
      <w:r>
        <w:rPr>
          <w:i/>
          <w:iCs/>
        </w:rPr>
        <w:t>Excavations, Surveys and Heritage Management in Victoria</w:t>
      </w:r>
      <w:r>
        <w:t xml:space="preserve">, </w:t>
      </w:r>
      <w:r>
        <w:rPr>
          <w:i/>
          <w:iCs/>
        </w:rPr>
        <w:t>2</w:t>
      </w:r>
      <w:r>
        <w:t>, 5965.</w:t>
      </w:r>
    </w:p>
    <w:p w14:paraId="59D20686" w14:textId="77777777" w:rsidR="000E78DC" w:rsidRDefault="00000000" w:rsidP="008F1F08">
      <w:pPr>
        <w:pStyle w:val="Bibliography"/>
        <w:jc w:val="both"/>
      </w:pPr>
      <w:bookmarkStart w:id="31" w:name="ref-haidleHowThinkSimple2009"/>
      <w:bookmarkEnd w:id="30"/>
      <w:r>
        <w:t xml:space="preserve">Haidle, M. N. (2009). How to think a simple spear. In S. A. de Beaune, F. L. Coolidge, &amp; T. Wynn (Eds.), </w:t>
      </w:r>
      <w:r>
        <w:rPr>
          <w:i/>
          <w:iCs/>
        </w:rPr>
        <w:t>Cognitive archaeology and human evolution</w:t>
      </w:r>
      <w:r>
        <w:t xml:space="preserve"> (pp. 57–73). Cambridge University Press.</w:t>
      </w:r>
    </w:p>
    <w:p w14:paraId="69512236" w14:textId="77777777" w:rsidR="000E78DC" w:rsidRDefault="00000000" w:rsidP="008F1F08">
      <w:pPr>
        <w:pStyle w:val="Bibliography"/>
        <w:jc w:val="both"/>
      </w:pPr>
      <w:bookmarkStart w:id="32" w:name="ref-haidle2014"/>
      <w:bookmarkEnd w:id="31"/>
      <w:r>
        <w:t xml:space="preserve">Haidle, M. N. (2014). Building a bridgean archeologist’s perspective on the evolution of causal cognition. </w:t>
      </w:r>
      <w:r>
        <w:rPr>
          <w:i/>
          <w:iCs/>
        </w:rPr>
        <w:t>Frontiers in Psychology</w:t>
      </w:r>
      <w:r>
        <w:t xml:space="preserve">, </w:t>
      </w:r>
      <w:r>
        <w:rPr>
          <w:i/>
          <w:iCs/>
        </w:rPr>
        <w:t>5</w:t>
      </w:r>
      <w:r>
        <w:t xml:space="preserve">. </w:t>
      </w:r>
      <w:hyperlink r:id="rId23">
        <w:r>
          <w:rPr>
            <w:rStyle w:val="Hyperlink"/>
          </w:rPr>
          <w:t>https://www.frontiersin.org/articles/10.3389/fpsyg.2014.01472</w:t>
        </w:r>
      </w:hyperlink>
    </w:p>
    <w:p w14:paraId="689A6228" w14:textId="77777777" w:rsidR="000E78DC" w:rsidRDefault="00000000" w:rsidP="008F1F08">
      <w:pPr>
        <w:pStyle w:val="Bibliography"/>
        <w:jc w:val="both"/>
      </w:pPr>
      <w:bookmarkStart w:id="33" w:name="ref-harris2021"/>
      <w:bookmarkEnd w:id="32"/>
      <w:r>
        <w:t xml:space="preserve">Harris, J. A., Boyd, R., &amp; Wood, B. M. (2021). The role of causal knowledge in the evolution of traditional technology. </w:t>
      </w:r>
      <w:r>
        <w:rPr>
          <w:i/>
          <w:iCs/>
        </w:rPr>
        <w:t>Current Biology</w:t>
      </w:r>
      <w:r>
        <w:t xml:space="preserve">, </w:t>
      </w:r>
      <w:r>
        <w:rPr>
          <w:i/>
          <w:iCs/>
        </w:rPr>
        <w:t>31</w:t>
      </w:r>
      <w:r>
        <w:t xml:space="preserve">(8), 1798–1803.e3. </w:t>
      </w:r>
      <w:hyperlink r:id="rId24">
        <w:r>
          <w:rPr>
            <w:rStyle w:val="Hyperlink"/>
          </w:rPr>
          <w:t>https://doi.org/10.1016/j.cub.2021.01.096</w:t>
        </w:r>
      </w:hyperlink>
    </w:p>
    <w:p w14:paraId="05B491FE" w14:textId="77777777" w:rsidR="000E78DC" w:rsidRDefault="00000000" w:rsidP="008F1F08">
      <w:pPr>
        <w:pStyle w:val="Bibliography"/>
        <w:jc w:val="both"/>
      </w:pPr>
      <w:bookmarkStart w:id="34" w:name="ref-henrichSearchHomoEconomicus2001"/>
      <w:bookmarkEnd w:id="33"/>
      <w:r>
        <w:t xml:space="preserve">Henrich, J., Boyd, R., Bowles, S., Camerer, C., Fehr, E., Gintis, H., &amp; McElreath, R. (2001). In Search of Homo Economicus: Behavioral Experiments in 15 Small-Scale Societies. </w:t>
      </w:r>
      <w:r>
        <w:rPr>
          <w:i/>
          <w:iCs/>
        </w:rPr>
        <w:t>American Economic Review</w:t>
      </w:r>
      <w:r>
        <w:t xml:space="preserve">, </w:t>
      </w:r>
      <w:r>
        <w:rPr>
          <w:i/>
          <w:iCs/>
        </w:rPr>
        <w:t>91</w:t>
      </w:r>
      <w:r>
        <w:t xml:space="preserve">(2), 73–78. </w:t>
      </w:r>
      <w:hyperlink r:id="rId25">
        <w:r>
          <w:rPr>
            <w:rStyle w:val="Hyperlink"/>
          </w:rPr>
          <w:t>https://doi.org/10.1257/aer.91.2.73</w:t>
        </w:r>
      </w:hyperlink>
    </w:p>
    <w:p w14:paraId="7B51819B" w14:textId="77777777" w:rsidR="000E78DC" w:rsidRDefault="00000000" w:rsidP="008F1F08">
      <w:pPr>
        <w:pStyle w:val="Bibliography"/>
        <w:jc w:val="both"/>
      </w:pPr>
      <w:bookmarkStart w:id="35" w:name="ref-hernan2023"/>
      <w:bookmarkEnd w:id="34"/>
      <w:r>
        <w:t xml:space="preserve">Hernan, M. A., &amp; Robins, J. M. (2023). </w:t>
      </w:r>
      <w:r>
        <w:rPr>
          <w:i/>
          <w:iCs/>
        </w:rPr>
        <w:t>Causal inference: What if</w:t>
      </w:r>
      <w:r>
        <w:t>. CRC Press.</w:t>
      </w:r>
    </w:p>
    <w:p w14:paraId="00E60A54" w14:textId="77777777" w:rsidR="000E78DC" w:rsidRDefault="00000000" w:rsidP="008F1F08">
      <w:pPr>
        <w:pStyle w:val="Bibliography"/>
        <w:jc w:val="both"/>
      </w:pPr>
      <w:bookmarkStart w:id="36" w:name="ref-hinds1999"/>
      <w:bookmarkEnd w:id="35"/>
      <w:r>
        <w:t xml:space="preserve">Hinds, P. J. (1999). The curse of expertise: The effects of expertise and debiasing methods on prediction of novice performance. </w:t>
      </w:r>
      <w:r>
        <w:rPr>
          <w:i/>
          <w:iCs/>
        </w:rPr>
        <w:t>Journal of Experimental Psychology: Applied</w:t>
      </w:r>
      <w:r>
        <w:t xml:space="preserve">, </w:t>
      </w:r>
      <w:r>
        <w:rPr>
          <w:i/>
          <w:iCs/>
        </w:rPr>
        <w:t>5</w:t>
      </w:r>
      <w:r>
        <w:t xml:space="preserve">, 205–221. </w:t>
      </w:r>
      <w:hyperlink r:id="rId26">
        <w:r>
          <w:rPr>
            <w:rStyle w:val="Hyperlink"/>
          </w:rPr>
          <w:t>https://doi.org/10.1037/1076-898X.5.2.205</w:t>
        </w:r>
      </w:hyperlink>
    </w:p>
    <w:p w14:paraId="1426E51A" w14:textId="77777777" w:rsidR="000E78DC" w:rsidRDefault="00000000" w:rsidP="008F1F08">
      <w:pPr>
        <w:pStyle w:val="Bibliography"/>
        <w:jc w:val="both"/>
      </w:pPr>
      <w:bookmarkStart w:id="37" w:name="ref-holleman2020"/>
      <w:bookmarkEnd w:id="36"/>
      <w:r>
        <w:t xml:space="preserve">Holleman, G. A., Hooge, I. T., Kemner, C., &amp; Hessels, R. S. (2020). The ‘real-world approach’and its problems: A critique of the term ecological validity. </w:t>
      </w:r>
      <w:r>
        <w:rPr>
          <w:i/>
          <w:iCs/>
        </w:rPr>
        <w:t>Frontiers in Psychology</w:t>
      </w:r>
      <w:r>
        <w:t xml:space="preserve">, </w:t>
      </w:r>
      <w:r>
        <w:rPr>
          <w:i/>
          <w:iCs/>
        </w:rPr>
        <w:t>11</w:t>
      </w:r>
      <w:r>
        <w:t>, 721.</w:t>
      </w:r>
    </w:p>
    <w:p w14:paraId="332FCCD8" w14:textId="77777777" w:rsidR="000E78DC" w:rsidRDefault="00000000" w:rsidP="008F1F08">
      <w:pPr>
        <w:pStyle w:val="Bibliography"/>
        <w:jc w:val="both"/>
      </w:pPr>
      <w:bookmarkStart w:id="38" w:name="ref-johnson1978"/>
      <w:bookmarkEnd w:id="37"/>
      <w:r>
        <w:t xml:space="preserve">Johnson, L. L. (1978). A history of flint-knapping experimentation, 1838-1976 [and comments and reply]. </w:t>
      </w:r>
      <w:r>
        <w:rPr>
          <w:i/>
          <w:iCs/>
        </w:rPr>
        <w:t>Current Anthropology</w:t>
      </w:r>
      <w:r>
        <w:t xml:space="preserve">, </w:t>
      </w:r>
      <w:r>
        <w:rPr>
          <w:i/>
          <w:iCs/>
        </w:rPr>
        <w:t>19</w:t>
      </w:r>
      <w:r>
        <w:t xml:space="preserve">(2), 337–372. </w:t>
      </w:r>
      <w:hyperlink r:id="rId27">
        <w:r>
          <w:rPr>
            <w:rStyle w:val="Hyperlink"/>
          </w:rPr>
          <w:t>https://doi.org/10.1086/202078</w:t>
        </w:r>
      </w:hyperlink>
    </w:p>
    <w:p w14:paraId="4BD25ADD" w14:textId="77777777" w:rsidR="000E78DC" w:rsidRDefault="00000000" w:rsidP="008F1F08">
      <w:pPr>
        <w:pStyle w:val="Bibliography"/>
        <w:jc w:val="both"/>
      </w:pPr>
      <w:bookmarkStart w:id="39" w:name="ref-kafaee2022"/>
      <w:bookmarkEnd w:id="38"/>
      <w:r>
        <w:t xml:space="preserve">Kafaee, M., Daviran, E., &amp; Taqavi, M. (2022). The QWERTY keyboard from the perspective of the Collingridge dilemma: lessons for co-construction of human-technology. </w:t>
      </w:r>
      <w:r>
        <w:rPr>
          <w:i/>
          <w:iCs/>
        </w:rPr>
        <w:t>AI &amp; SOCIETY</w:t>
      </w:r>
      <w:r>
        <w:t xml:space="preserve">. </w:t>
      </w:r>
      <w:hyperlink r:id="rId28">
        <w:r>
          <w:rPr>
            <w:rStyle w:val="Hyperlink"/>
          </w:rPr>
          <w:t>https://doi.org/10.1007/s00146-022-01573-1</w:t>
        </w:r>
      </w:hyperlink>
    </w:p>
    <w:p w14:paraId="5FF4B10E" w14:textId="77777777" w:rsidR="000E78DC" w:rsidRDefault="00000000" w:rsidP="008F1F08">
      <w:pPr>
        <w:pStyle w:val="Bibliography"/>
        <w:jc w:val="both"/>
      </w:pPr>
      <w:bookmarkStart w:id="40" w:name="ref-li2022"/>
      <w:bookmarkEnd w:id="39"/>
      <w:r>
        <w:t xml:space="preserve">Li, L., Lin, S. C., McPherron, S. P., Abdolahzadeh, A., Chan, A., Dogandžić, T., Iovita, R., Leader, G. M., Magnani, M., Rezek, Z., &amp; Dibble, H. L. (2022). A Synthesis of the Dibble et al. Controlled Experiments into the Mechanics of Lithic Production. </w:t>
      </w:r>
      <w:r>
        <w:rPr>
          <w:i/>
          <w:iCs/>
        </w:rPr>
        <w:t>Journal of Archaeological Method and Theory</w:t>
      </w:r>
      <w:r>
        <w:t xml:space="preserve">. </w:t>
      </w:r>
      <w:hyperlink r:id="rId29">
        <w:r>
          <w:rPr>
            <w:rStyle w:val="Hyperlink"/>
          </w:rPr>
          <w:t>https://doi.org/10.1007/s10816-022-09586-2</w:t>
        </w:r>
      </w:hyperlink>
    </w:p>
    <w:p w14:paraId="4939434C" w14:textId="77777777" w:rsidR="000E78DC" w:rsidRDefault="00000000" w:rsidP="008F1F08">
      <w:pPr>
        <w:pStyle w:val="Bibliography"/>
        <w:jc w:val="both"/>
      </w:pPr>
      <w:bookmarkStart w:id="41" w:name="ref-lin2018"/>
      <w:bookmarkEnd w:id="40"/>
      <w:r>
        <w:lastRenderedPageBreak/>
        <w:t xml:space="preserve">Lin, S. C., Rezek, Z., &amp; Dibble, H. L. (2018). Experimental Design and Experimental Inference in Stone Artifact Archaeology. </w:t>
      </w:r>
      <w:r>
        <w:rPr>
          <w:i/>
          <w:iCs/>
        </w:rPr>
        <w:t>Journal of Archaeological Method and Theory</w:t>
      </w:r>
      <w:r>
        <w:t xml:space="preserve">, </w:t>
      </w:r>
      <w:r>
        <w:rPr>
          <w:i/>
          <w:iCs/>
        </w:rPr>
        <w:t>25</w:t>
      </w:r>
      <w:r>
        <w:t xml:space="preserve">(3), 663–688. </w:t>
      </w:r>
      <w:hyperlink r:id="rId30">
        <w:r>
          <w:rPr>
            <w:rStyle w:val="Hyperlink"/>
          </w:rPr>
          <w:t>https://doi.org/10.1007/s10816-017-9351-1</w:t>
        </w:r>
      </w:hyperlink>
    </w:p>
    <w:p w14:paraId="34D792F3" w14:textId="77777777" w:rsidR="000E78DC" w:rsidRDefault="00000000" w:rsidP="008F1F08">
      <w:pPr>
        <w:pStyle w:val="Bibliography"/>
        <w:jc w:val="both"/>
      </w:pPr>
      <w:bookmarkStart w:id="42" w:name="ref-liu2023"/>
      <w:bookmarkEnd w:id="41"/>
      <w:r>
        <w:t xml:space="preserve">Liu, C., Khreisheh, N., Stout, D., &amp; Pargeter, J. (2023). Differential effects of knapping skill acquisition on the cultural reproduction of Late Acheulean handaxe morphology: Archaeological and experimental insights. </w:t>
      </w:r>
      <w:r>
        <w:rPr>
          <w:i/>
          <w:iCs/>
        </w:rPr>
        <w:t>Journal of Archaeological Science: Reports</w:t>
      </w:r>
      <w:r>
        <w:t xml:space="preserve">, </w:t>
      </w:r>
      <w:r>
        <w:rPr>
          <w:i/>
          <w:iCs/>
        </w:rPr>
        <w:t>49</w:t>
      </w:r>
      <w:r>
        <w:t xml:space="preserve">, 103974. </w:t>
      </w:r>
      <w:hyperlink r:id="rId31">
        <w:r>
          <w:rPr>
            <w:rStyle w:val="Hyperlink"/>
          </w:rPr>
          <w:t>https://doi.org/10.1016/j.jasrep.2023.103974</w:t>
        </w:r>
      </w:hyperlink>
    </w:p>
    <w:p w14:paraId="4D2D5409" w14:textId="77777777" w:rsidR="000E78DC" w:rsidRDefault="00000000" w:rsidP="008F1F08">
      <w:pPr>
        <w:pStyle w:val="Bibliography"/>
        <w:jc w:val="both"/>
      </w:pPr>
      <w:bookmarkStart w:id="43" w:name="ref-liuInferringCulturalReproduction2023"/>
      <w:bookmarkEnd w:id="42"/>
      <w:r>
        <w:t xml:space="preserve">Liu, C., &amp; Stout, D. (2023). Inferring cultural reproduction from lithic data: A critical review. </w:t>
      </w:r>
      <w:r>
        <w:rPr>
          <w:i/>
          <w:iCs/>
        </w:rPr>
        <w:t>Evolutionary Anthropology: Issues, News, and Reviews</w:t>
      </w:r>
      <w:r>
        <w:t xml:space="preserve">, </w:t>
      </w:r>
      <w:r>
        <w:rPr>
          <w:i/>
          <w:iCs/>
        </w:rPr>
        <w:t>32</w:t>
      </w:r>
      <w:r>
        <w:t xml:space="preserve">(2), 83–99. </w:t>
      </w:r>
      <w:hyperlink r:id="rId32">
        <w:r>
          <w:rPr>
            <w:rStyle w:val="Hyperlink"/>
          </w:rPr>
          <w:t>https://doi.org/10.1002/evan.21964</w:t>
        </w:r>
      </w:hyperlink>
    </w:p>
    <w:p w14:paraId="5EFDBC5A" w14:textId="77777777" w:rsidR="000E78DC" w:rsidRDefault="00000000" w:rsidP="008F1F08">
      <w:pPr>
        <w:pStyle w:val="Bibliography"/>
        <w:jc w:val="both"/>
      </w:pPr>
      <w:bookmarkStart w:id="44" w:name="ref-lombao2017"/>
      <w:bookmarkEnd w:id="43"/>
      <w:r>
        <w:t xml:space="preserve">Lombao, D., Guardiola, M., &amp; Mosquera, M. (2017). Teaching to make stone tools: new experimental evidence supporting a technological hypothesis for the origins of language. </w:t>
      </w:r>
      <w:r>
        <w:rPr>
          <w:i/>
          <w:iCs/>
        </w:rPr>
        <w:t>Scientific Reports</w:t>
      </w:r>
      <w:r>
        <w:t xml:space="preserve">, </w:t>
      </w:r>
      <w:r>
        <w:rPr>
          <w:i/>
          <w:iCs/>
        </w:rPr>
        <w:t>7</w:t>
      </w:r>
      <w:r>
        <w:t xml:space="preserve">(1), 14394. </w:t>
      </w:r>
      <w:hyperlink r:id="rId33">
        <w:r>
          <w:rPr>
            <w:rStyle w:val="Hyperlink"/>
          </w:rPr>
          <w:t>https://doi.org/10.1038/s41598-017-14322-y</w:t>
        </w:r>
      </w:hyperlink>
    </w:p>
    <w:p w14:paraId="472FB5CA" w14:textId="77777777" w:rsidR="000E78DC" w:rsidRDefault="00000000" w:rsidP="008F1F08">
      <w:pPr>
        <w:pStyle w:val="Bibliography"/>
        <w:jc w:val="both"/>
      </w:pPr>
      <w:bookmarkStart w:id="45" w:name="ref-mahaney2014"/>
      <w:bookmarkEnd w:id="44"/>
      <w:r>
        <w:t xml:space="preserve">Mahaney, R. A. (2014). Exploring the complexity and structure of acheulean stoneknapping in relation to natural language. </w:t>
      </w:r>
      <w:r>
        <w:rPr>
          <w:i/>
          <w:iCs/>
        </w:rPr>
        <w:t>PaleoAnthropology</w:t>
      </w:r>
      <w:r>
        <w:t xml:space="preserve">, </w:t>
      </w:r>
      <w:r>
        <w:rPr>
          <w:i/>
          <w:iCs/>
        </w:rPr>
        <w:t>2014</w:t>
      </w:r>
      <w:r>
        <w:t xml:space="preserve">, 586606. </w:t>
      </w:r>
      <w:hyperlink r:id="rId34">
        <w:r>
          <w:rPr>
            <w:rStyle w:val="Hyperlink"/>
          </w:rPr>
          <w:t>https://doi.org/10.4207/PA.2014.ART90</w:t>
        </w:r>
      </w:hyperlink>
    </w:p>
    <w:p w14:paraId="0C5DF235" w14:textId="77777777" w:rsidR="000E78DC" w:rsidRDefault="00000000" w:rsidP="008F1F08">
      <w:pPr>
        <w:pStyle w:val="Bibliography"/>
        <w:jc w:val="both"/>
      </w:pPr>
      <w:bookmarkStart w:id="46" w:name="ref-malafouris2013"/>
      <w:bookmarkEnd w:id="45"/>
      <w:r>
        <w:t xml:space="preserve">Malafouris, L. (2013). </w:t>
      </w:r>
      <w:r>
        <w:rPr>
          <w:i/>
          <w:iCs/>
        </w:rPr>
        <w:t>How things shape the mind: A theory of material engagement</w:t>
      </w:r>
      <w:r>
        <w:t>. The MIT Press.</w:t>
      </w:r>
    </w:p>
    <w:p w14:paraId="0B219D58" w14:textId="77777777" w:rsidR="000E78DC" w:rsidRDefault="00000000" w:rsidP="008F1F08">
      <w:pPr>
        <w:pStyle w:val="Bibliography"/>
        <w:jc w:val="both"/>
      </w:pPr>
      <w:bookmarkStart w:id="47" w:name="ref-maloney2020"/>
      <w:bookmarkEnd w:id="46"/>
      <w:r>
        <w:t xml:space="preserve">Maloney, T. R., &amp; Street, M. (2020). Hot debate: Identifying heat treatment in Australian archaeology using science and modern indigenous knowledge. </w:t>
      </w:r>
      <w:r>
        <w:rPr>
          <w:i/>
          <w:iCs/>
        </w:rPr>
        <w:t>Quaternary Science Reviews</w:t>
      </w:r>
      <w:r>
        <w:t xml:space="preserve">, </w:t>
      </w:r>
      <w:r>
        <w:rPr>
          <w:i/>
          <w:iCs/>
        </w:rPr>
        <w:t>241</w:t>
      </w:r>
      <w:r>
        <w:t xml:space="preserve">, 106431. </w:t>
      </w:r>
      <w:hyperlink r:id="rId35">
        <w:r>
          <w:rPr>
            <w:rStyle w:val="Hyperlink"/>
          </w:rPr>
          <w:t>https://doi.org/10.1016/j.quascirev.2020.106431</w:t>
        </w:r>
      </w:hyperlink>
    </w:p>
    <w:p w14:paraId="239DF464" w14:textId="77777777" w:rsidR="000E78DC" w:rsidRDefault="00000000" w:rsidP="008F1F08">
      <w:pPr>
        <w:pStyle w:val="Bibliography"/>
        <w:jc w:val="both"/>
      </w:pPr>
      <w:bookmarkStart w:id="48" w:name="ref-martellotta2022"/>
      <w:bookmarkEnd w:id="47"/>
      <w:r>
        <w:t xml:space="preserve">Martellotta, E. F., Perston, Y. L., Craft, P., Wilkins, J., &amp; Langley, M. C. (2022). Beyond the main function: An experimental study of the use of hardwood boomerangs in retouching activities. </w:t>
      </w:r>
      <w:r>
        <w:rPr>
          <w:i/>
          <w:iCs/>
        </w:rPr>
        <w:t>PLOS ONE</w:t>
      </w:r>
      <w:r>
        <w:t xml:space="preserve">, </w:t>
      </w:r>
      <w:r>
        <w:rPr>
          <w:i/>
          <w:iCs/>
        </w:rPr>
        <w:t>17</w:t>
      </w:r>
      <w:r>
        <w:t xml:space="preserve">(8), e0273118. </w:t>
      </w:r>
      <w:hyperlink r:id="rId36">
        <w:r>
          <w:rPr>
            <w:rStyle w:val="Hyperlink"/>
          </w:rPr>
          <w:t>https://doi.org/10.1371/journal.pone.0273118</w:t>
        </w:r>
      </w:hyperlink>
    </w:p>
    <w:p w14:paraId="7DB55560" w14:textId="77777777" w:rsidR="000E78DC" w:rsidRDefault="00000000" w:rsidP="008F1F08">
      <w:pPr>
        <w:pStyle w:val="Bibliography"/>
        <w:jc w:val="both"/>
      </w:pPr>
      <w:bookmarkStart w:id="49" w:name="ref-armstrong2018"/>
      <w:bookmarkEnd w:id="48"/>
      <w:r>
        <w:t xml:space="preserve">Mindermann, S., &amp; Armstrong, S. (2018). Occam’s razor is insufficient to infer the preferences of irrational agents. </w:t>
      </w:r>
      <w:r>
        <w:rPr>
          <w:i/>
          <w:iCs/>
        </w:rPr>
        <w:t>Proceedings of the 32nd International Conference on Neural Information Processing Systems</w:t>
      </w:r>
      <w:r>
        <w:t>, 5603–5614.</w:t>
      </w:r>
    </w:p>
    <w:p w14:paraId="309934CB" w14:textId="77777777" w:rsidR="000E78DC" w:rsidRDefault="00000000" w:rsidP="008F1F08">
      <w:pPr>
        <w:pStyle w:val="Bibliography"/>
        <w:jc w:val="both"/>
      </w:pPr>
      <w:bookmarkStart w:id="50" w:name="ref-mobbs2021"/>
      <w:bookmarkEnd w:id="49"/>
      <w:r>
        <w:t xml:space="preserve">Mobbs, D., Wise, T., Suthana, N., Guzmán, N., Kriegeskorte, N., &amp; Leibo, J. Z. (2021). Promises and challenges of human computational ethology. </w:t>
      </w:r>
      <w:r>
        <w:rPr>
          <w:i/>
          <w:iCs/>
        </w:rPr>
        <w:t>Neuron</w:t>
      </w:r>
      <w:r>
        <w:t xml:space="preserve">, </w:t>
      </w:r>
      <w:r>
        <w:rPr>
          <w:i/>
          <w:iCs/>
        </w:rPr>
        <w:t>109</w:t>
      </w:r>
      <w:r>
        <w:t xml:space="preserve">(14), 2224–2238. </w:t>
      </w:r>
      <w:hyperlink r:id="rId37">
        <w:r>
          <w:rPr>
            <w:rStyle w:val="Hyperlink"/>
          </w:rPr>
          <w:t>https://doi.org/10.1016/j.neuron.2021.05.021</w:t>
        </w:r>
      </w:hyperlink>
    </w:p>
    <w:p w14:paraId="008B1F66" w14:textId="77777777" w:rsidR="000E78DC" w:rsidRDefault="00000000" w:rsidP="008F1F08">
      <w:pPr>
        <w:pStyle w:val="Bibliography"/>
        <w:jc w:val="both"/>
      </w:pPr>
      <w:bookmarkStart w:id="51" w:name="ref-montgomery2023"/>
      <w:bookmarkEnd w:id="50"/>
      <w:r>
        <w:t xml:space="preserve">Montgomery, L. M., &amp; Fryer, T. C. (2023). The future of archaeology is (still) community collaboration. </w:t>
      </w:r>
      <w:r>
        <w:rPr>
          <w:i/>
          <w:iCs/>
        </w:rPr>
        <w:t>Antiquity</w:t>
      </w:r>
      <w:r>
        <w:t xml:space="preserve">, </w:t>
      </w:r>
      <w:r>
        <w:rPr>
          <w:i/>
          <w:iCs/>
        </w:rPr>
        <w:t>97</w:t>
      </w:r>
      <w:r>
        <w:t xml:space="preserve">(394), 795–809. </w:t>
      </w:r>
      <w:hyperlink r:id="rId38">
        <w:r>
          <w:rPr>
            <w:rStyle w:val="Hyperlink"/>
          </w:rPr>
          <w:t>https://doi.org/10.15184/aqy.2023.98</w:t>
        </w:r>
      </w:hyperlink>
    </w:p>
    <w:p w14:paraId="744042C0" w14:textId="77777777" w:rsidR="000E78DC" w:rsidRDefault="00000000" w:rsidP="008F1F08">
      <w:pPr>
        <w:pStyle w:val="Bibliography"/>
        <w:jc w:val="both"/>
      </w:pPr>
      <w:bookmarkStart w:id="52" w:name="ref-moore2020"/>
      <w:bookmarkEnd w:id="51"/>
      <w:r>
        <w:t xml:space="preserve">Moore, M. W. (2020). Hominin Stone Flaking and the Emergence of ‘Top-down’ Design in Human Evolution. </w:t>
      </w:r>
      <w:r>
        <w:rPr>
          <w:i/>
          <w:iCs/>
        </w:rPr>
        <w:t>Cambridge Archaeological Journal</w:t>
      </w:r>
      <w:r>
        <w:t xml:space="preserve">, </w:t>
      </w:r>
      <w:r>
        <w:rPr>
          <w:i/>
          <w:iCs/>
        </w:rPr>
        <w:t>30</w:t>
      </w:r>
      <w:r>
        <w:t xml:space="preserve">(4), 647–664. </w:t>
      </w:r>
      <w:hyperlink r:id="rId39">
        <w:r>
          <w:rPr>
            <w:rStyle w:val="Hyperlink"/>
          </w:rPr>
          <w:t>https://doi.org/10.1017/S0959774320000190</w:t>
        </w:r>
      </w:hyperlink>
    </w:p>
    <w:p w14:paraId="604DB084" w14:textId="77777777" w:rsidR="000E78DC" w:rsidRDefault="00000000" w:rsidP="008F1F08">
      <w:pPr>
        <w:pStyle w:val="Bibliography"/>
        <w:jc w:val="both"/>
      </w:pPr>
      <w:bookmarkStart w:id="53" w:name="ref-muller2023"/>
      <w:bookmarkEnd w:id="52"/>
      <w:r>
        <w:lastRenderedPageBreak/>
        <w:t xml:space="preserve">Muller, A., Shipton, C., &amp; Clarkson, C. (2023). The Proceduralization of Hominin Knapping Skill: Memorizing Different Lithic Technologies. </w:t>
      </w:r>
      <w:r>
        <w:rPr>
          <w:i/>
          <w:iCs/>
        </w:rPr>
        <w:t>Cambridge Archaeological Journal</w:t>
      </w:r>
      <w:r>
        <w:t xml:space="preserve">, 1–18. </w:t>
      </w:r>
      <w:hyperlink r:id="rId40">
        <w:r>
          <w:rPr>
            <w:rStyle w:val="Hyperlink"/>
          </w:rPr>
          <w:t>https://doi.org/10.1017/S0959774323000070</w:t>
        </w:r>
      </w:hyperlink>
    </w:p>
    <w:p w14:paraId="1F79AB92" w14:textId="77777777" w:rsidR="000E78DC" w:rsidRDefault="00000000" w:rsidP="008F1F08">
      <w:pPr>
        <w:pStyle w:val="Bibliography"/>
        <w:jc w:val="both"/>
      </w:pPr>
      <w:bookmarkStart w:id="54" w:name="ref-nami2010"/>
      <w:bookmarkEnd w:id="53"/>
      <w:r>
        <w:t xml:space="preserve">Nami, H., G. (2010). Theoretical Reflections on Experimental Archaeology and Lithic Technology: Issues on Actualistic Stone Tools Analysis and Interpretation. In H. Nami G. (Ed.), </w:t>
      </w:r>
      <w:r>
        <w:rPr>
          <w:i/>
          <w:iCs/>
        </w:rPr>
        <w:t>Experiments and Interpretation of Traditional Technologies: Essays in Honor of Errett Callahan</w:t>
      </w:r>
      <w:r>
        <w:t xml:space="preserve"> (pp. 91–168). Ediciones de ArqueologÌa Contempornea.</w:t>
      </w:r>
    </w:p>
    <w:p w14:paraId="19B7BDEF" w14:textId="77777777" w:rsidR="000E78DC" w:rsidRDefault="00000000" w:rsidP="008F1F08">
      <w:pPr>
        <w:pStyle w:val="Bibliography"/>
        <w:jc w:val="both"/>
      </w:pPr>
      <w:bookmarkStart w:id="55" w:name="ref-nastase2020"/>
      <w:bookmarkEnd w:id="54"/>
      <w:r>
        <w:t xml:space="preserve">Nastase, S. A., Goldstein, A., &amp; Hasson, U. (2020). Keep it real: rethinking the primacy of experimental control in cognitive neuroscience. </w:t>
      </w:r>
      <w:r>
        <w:rPr>
          <w:i/>
          <w:iCs/>
        </w:rPr>
        <w:t>NeuroImage</w:t>
      </w:r>
      <w:r>
        <w:t xml:space="preserve">, </w:t>
      </w:r>
      <w:r>
        <w:rPr>
          <w:i/>
          <w:iCs/>
        </w:rPr>
        <w:t>222</w:t>
      </w:r>
      <w:r>
        <w:t xml:space="preserve">, 117254. </w:t>
      </w:r>
      <w:hyperlink r:id="rId41">
        <w:r>
          <w:rPr>
            <w:rStyle w:val="Hyperlink"/>
          </w:rPr>
          <w:t>https://doi.org/10.1016/j.neuroimage.2020.117254</w:t>
        </w:r>
      </w:hyperlink>
    </w:p>
    <w:p w14:paraId="38FE2EA6" w14:textId="77777777" w:rsidR="000E78DC" w:rsidRDefault="00000000" w:rsidP="008F1F08">
      <w:pPr>
        <w:pStyle w:val="Bibliography"/>
        <w:jc w:val="both"/>
      </w:pPr>
      <w:bookmarkStart w:id="56" w:name="ref-outram2008"/>
      <w:bookmarkEnd w:id="55"/>
      <w:r>
        <w:t xml:space="preserve">Outram, A. K. (2008). Introduction to experimental archaeology. </w:t>
      </w:r>
      <w:r>
        <w:rPr>
          <w:i/>
          <w:iCs/>
        </w:rPr>
        <w:t>World Archaeology</w:t>
      </w:r>
      <w:r>
        <w:t xml:space="preserve">, </w:t>
      </w:r>
      <w:r>
        <w:rPr>
          <w:i/>
          <w:iCs/>
        </w:rPr>
        <w:t>40</w:t>
      </w:r>
      <w:r>
        <w:t xml:space="preserve">(1), 1–6. </w:t>
      </w:r>
      <w:hyperlink r:id="rId42">
        <w:r>
          <w:rPr>
            <w:rStyle w:val="Hyperlink"/>
          </w:rPr>
          <w:t>https://www.jstor.org/stable/40025310</w:t>
        </w:r>
      </w:hyperlink>
    </w:p>
    <w:p w14:paraId="0A507252" w14:textId="77777777" w:rsidR="000E78DC" w:rsidRDefault="00000000" w:rsidP="008F1F08">
      <w:pPr>
        <w:pStyle w:val="Bibliography"/>
        <w:jc w:val="both"/>
      </w:pPr>
      <w:bookmarkStart w:id="57" w:name="ref-pargeter2023"/>
      <w:bookmarkEnd w:id="56"/>
      <w:r>
        <w:t xml:space="preserve">Pargeter, J., Liu, C., Kilgore, M. B., Majoe, A., &amp; Stout, D. (2023). Testing the Effect of Learning Conditions and Individual Motor/Cognitive Differences on Knapping Skill Acquisition. </w:t>
      </w:r>
      <w:r>
        <w:rPr>
          <w:i/>
          <w:iCs/>
        </w:rPr>
        <w:t>Journal of Archaeological Method and Theory</w:t>
      </w:r>
      <w:r>
        <w:t xml:space="preserve">, </w:t>
      </w:r>
      <w:r>
        <w:rPr>
          <w:i/>
          <w:iCs/>
        </w:rPr>
        <w:t>30</w:t>
      </w:r>
      <w:r>
        <w:t xml:space="preserve">(1), 127–171. </w:t>
      </w:r>
      <w:hyperlink r:id="rId43">
        <w:r>
          <w:rPr>
            <w:rStyle w:val="Hyperlink"/>
          </w:rPr>
          <w:t>https://doi.org/10.1007/s10816-022-09592-4</w:t>
        </w:r>
      </w:hyperlink>
    </w:p>
    <w:p w14:paraId="4B3E695D" w14:textId="77777777" w:rsidR="000E78DC" w:rsidRDefault="00000000" w:rsidP="008F1F08">
      <w:pPr>
        <w:pStyle w:val="Bibliography"/>
        <w:jc w:val="both"/>
      </w:pPr>
      <w:bookmarkStart w:id="58" w:name="ref-pfleging2019"/>
      <w:bookmarkEnd w:id="57"/>
      <w:r>
        <w:t xml:space="preserve">Pfleging, J., Iovita, R., &amp; Buchli, J. (2019). Influence of force and duration on stone tool wear: results from experiments with a force-controlled robot. </w:t>
      </w:r>
      <w:r>
        <w:rPr>
          <w:i/>
          <w:iCs/>
        </w:rPr>
        <w:t>Archaeological and Anthropological Sciences</w:t>
      </w:r>
      <w:r>
        <w:t xml:space="preserve">, </w:t>
      </w:r>
      <w:r>
        <w:rPr>
          <w:i/>
          <w:iCs/>
        </w:rPr>
        <w:t>11</w:t>
      </w:r>
      <w:r>
        <w:t xml:space="preserve">(11), 5921–5935. </w:t>
      </w:r>
      <w:hyperlink r:id="rId44">
        <w:r>
          <w:rPr>
            <w:rStyle w:val="Hyperlink"/>
          </w:rPr>
          <w:t>https://doi.org/10.1007/s12520-018-0729-0</w:t>
        </w:r>
      </w:hyperlink>
    </w:p>
    <w:p w14:paraId="345CE9C1" w14:textId="77777777" w:rsidR="000E78DC" w:rsidRDefault="00000000" w:rsidP="008F1F08">
      <w:pPr>
        <w:pStyle w:val="Bibliography"/>
        <w:jc w:val="both"/>
      </w:pPr>
      <w:bookmarkStart w:id="59" w:name="X4038767f930da73f817e0ce09756b3b7f75fe29"/>
      <w:bookmarkEnd w:id="58"/>
      <w:r>
        <w:t xml:space="preserve">Premo, L. S. (2010). Equifinality and explanation: Thoughts on the role of agent-based modeling in postpositivist archaeology. In A. Costopoulos &amp; M. W. Lake (Eds.), </w:t>
      </w:r>
      <w:r>
        <w:rPr>
          <w:i/>
          <w:iCs/>
        </w:rPr>
        <w:t>Simulating Change: Archaeology Into the Twenty-first Century</w:t>
      </w:r>
      <w:r>
        <w:t xml:space="preserve"> (pp. 28–37). University of Utah Press.</w:t>
      </w:r>
    </w:p>
    <w:p w14:paraId="6B806A33" w14:textId="77777777" w:rsidR="000E78DC" w:rsidRDefault="00000000" w:rsidP="008F1F08">
      <w:pPr>
        <w:pStyle w:val="Bibliography"/>
        <w:jc w:val="both"/>
      </w:pPr>
      <w:bookmarkStart w:id="60" w:name="ref-proffitt2022"/>
      <w:bookmarkEnd w:id="59"/>
      <w:r>
        <w:t xml:space="preserve">Proffitt, T., Bargalló, A., &amp; Torre, I. de la. (2022). The Effect of Raw Material on the Identification of Knapping Skill: a Case Study from Olduvai Gorge, Tanzania. </w:t>
      </w:r>
      <w:r>
        <w:rPr>
          <w:i/>
          <w:iCs/>
        </w:rPr>
        <w:t>Journal of Archaeological Method and Theory</w:t>
      </w:r>
      <w:r>
        <w:t xml:space="preserve">, </w:t>
      </w:r>
      <w:r>
        <w:rPr>
          <w:i/>
          <w:iCs/>
        </w:rPr>
        <w:t>29</w:t>
      </w:r>
      <w:r>
        <w:t xml:space="preserve">(1), 50–82. </w:t>
      </w:r>
      <w:hyperlink r:id="rId45">
        <w:r>
          <w:rPr>
            <w:rStyle w:val="Hyperlink"/>
          </w:rPr>
          <w:t>https://doi.org/10.1007/s10816-021-09511-z</w:t>
        </w:r>
      </w:hyperlink>
    </w:p>
    <w:p w14:paraId="3877259B" w14:textId="77777777" w:rsidR="000E78DC" w:rsidRDefault="00000000" w:rsidP="008F1F08">
      <w:pPr>
        <w:pStyle w:val="Bibliography"/>
        <w:jc w:val="both"/>
      </w:pPr>
      <w:bookmarkStart w:id="61" w:name="ref-ranhorn2020"/>
      <w:bookmarkEnd w:id="60"/>
      <w:r>
        <w:t xml:space="preserve">Ranhorn, K. L., Pargeter, J., &amp; Premo, L. S. (2020). Investigating the evolution of human social learning through collaborative experimental archaeology. </w:t>
      </w:r>
      <w:r>
        <w:rPr>
          <w:i/>
          <w:iCs/>
        </w:rPr>
        <w:t>Evolutionary Anthropology: Issues, News, and Reviews</w:t>
      </w:r>
      <w:r>
        <w:t xml:space="preserve">, </w:t>
      </w:r>
      <w:r>
        <w:rPr>
          <w:i/>
          <w:iCs/>
        </w:rPr>
        <w:t>29</w:t>
      </w:r>
      <w:r>
        <w:t xml:space="preserve">(2), 53–55. </w:t>
      </w:r>
      <w:hyperlink r:id="rId46">
        <w:r>
          <w:rPr>
            <w:rStyle w:val="Hyperlink"/>
          </w:rPr>
          <w:t>https://doi.org/10.1002/evan.21823</w:t>
        </w:r>
      </w:hyperlink>
    </w:p>
    <w:p w14:paraId="4DEA878B" w14:textId="77777777" w:rsidR="000E78DC" w:rsidRDefault="00000000" w:rsidP="008F1F08">
      <w:pPr>
        <w:pStyle w:val="Bibliography"/>
        <w:jc w:val="both"/>
      </w:pPr>
      <w:bookmarkStart w:id="62" w:name="ref-reeves2009"/>
      <w:bookmarkEnd w:id="61"/>
      <w:r>
        <w:t xml:space="preserve">Reeves, D., Bury, R., &amp; Robinson, D. W. (2009). Invoking occam’s razor: Experimental pigment processing and an hypothesis concerning emigdiano chumash rock art. </w:t>
      </w:r>
      <w:r>
        <w:rPr>
          <w:i/>
          <w:iCs/>
        </w:rPr>
        <w:t>Journal of California and Great Basin Anthropology</w:t>
      </w:r>
      <w:r>
        <w:t xml:space="preserve">, </w:t>
      </w:r>
      <w:r>
        <w:rPr>
          <w:i/>
          <w:iCs/>
        </w:rPr>
        <w:t>29</w:t>
      </w:r>
      <w:r>
        <w:t xml:space="preserve">(1), 59–67. </w:t>
      </w:r>
      <w:hyperlink r:id="rId47">
        <w:r>
          <w:rPr>
            <w:rStyle w:val="Hyperlink"/>
          </w:rPr>
          <w:t>https://www.jstor.org/stable/27825902</w:t>
        </w:r>
      </w:hyperlink>
    </w:p>
    <w:p w14:paraId="395ED057" w14:textId="77777777" w:rsidR="000E78DC" w:rsidRDefault="00000000" w:rsidP="008F1F08">
      <w:pPr>
        <w:pStyle w:val="Bibliography"/>
        <w:jc w:val="both"/>
      </w:pPr>
      <w:bookmarkStart w:id="63" w:name="ref-reevesflores2012"/>
      <w:bookmarkEnd w:id="62"/>
      <w:r>
        <w:t xml:space="preserve">Reeves Flores, J. (2012). </w:t>
      </w:r>
      <w:r>
        <w:rPr>
          <w:i/>
          <w:iCs/>
        </w:rPr>
        <w:t>Experimental archaeology: an ethnography of its perceived value and impact in archaeological research</w:t>
      </w:r>
      <w:r>
        <w:t xml:space="preserve"> [PhD thesis]. </w:t>
      </w:r>
      <w:hyperlink r:id="rId48">
        <w:r>
          <w:rPr>
            <w:rStyle w:val="Hyperlink"/>
          </w:rPr>
          <w:t>https://ore.exeter.ac.uk/repository/handle/10871/9041</w:t>
        </w:r>
      </w:hyperlink>
    </w:p>
    <w:p w14:paraId="056B6237" w14:textId="77777777" w:rsidR="000E78DC" w:rsidRDefault="00000000" w:rsidP="008F1F08">
      <w:pPr>
        <w:pStyle w:val="Bibliography"/>
        <w:jc w:val="both"/>
      </w:pPr>
      <w:bookmarkStart w:id="64" w:name="ref-reynolds1999"/>
      <w:bookmarkEnd w:id="63"/>
      <w:r>
        <w:t xml:space="preserve">Reynolds, P. J. (1999). </w:t>
      </w:r>
      <w:r>
        <w:rPr>
          <w:i/>
          <w:iCs/>
        </w:rPr>
        <w:t>The nature of experiment in archaeology</w:t>
      </w:r>
      <w:r>
        <w:t xml:space="preserve"> (A. Harding, Ed.; pp. 156–162). Oxbow Books.</w:t>
      </w:r>
    </w:p>
    <w:p w14:paraId="03A38BD6" w14:textId="77777777" w:rsidR="000E78DC" w:rsidRDefault="00000000" w:rsidP="008F1F08">
      <w:pPr>
        <w:pStyle w:val="Bibliography"/>
        <w:jc w:val="both"/>
      </w:pPr>
      <w:bookmarkStart w:id="65" w:name="ref-roe2009"/>
      <w:bookmarkEnd w:id="64"/>
      <w:r>
        <w:lastRenderedPageBreak/>
        <w:t xml:space="preserve">Roe, B. E., &amp; Just, D. R. (2009). Internal and external validity in economics research: Tradeoffs between experiments, field experiments, natural experiments, and field data. </w:t>
      </w:r>
      <w:r>
        <w:rPr>
          <w:i/>
          <w:iCs/>
        </w:rPr>
        <w:t>American Journal of Agricultural Economics</w:t>
      </w:r>
      <w:r>
        <w:t xml:space="preserve">, </w:t>
      </w:r>
      <w:r>
        <w:rPr>
          <w:i/>
          <w:iCs/>
        </w:rPr>
        <w:t>91</w:t>
      </w:r>
      <w:r>
        <w:t xml:space="preserve">(5), 1266–1271. </w:t>
      </w:r>
      <w:hyperlink r:id="rId49">
        <w:r>
          <w:rPr>
            <w:rStyle w:val="Hyperlink"/>
          </w:rPr>
          <w:t>https://www.jstor.org/stable/20616293</w:t>
        </w:r>
      </w:hyperlink>
    </w:p>
    <w:p w14:paraId="34383888" w14:textId="77777777" w:rsidR="000E78DC" w:rsidRDefault="00000000" w:rsidP="008F1F08">
      <w:pPr>
        <w:pStyle w:val="Bibliography"/>
        <w:jc w:val="both"/>
      </w:pPr>
      <w:bookmarkStart w:id="66" w:name="ref-roux2005"/>
      <w:bookmarkEnd w:id="65"/>
      <w:r>
        <w:t xml:space="preserve">Roux, V., &amp; David, É. (2005). </w:t>
      </w:r>
      <w:r>
        <w:rPr>
          <w:i/>
          <w:iCs/>
        </w:rPr>
        <w:t>Planning abilities as a dynamic perceptual-motor skill: an actualist study of different levels of expertise involved in stone knapping</w:t>
      </w:r>
      <w:r>
        <w:t xml:space="preserve"> (V. Roux &amp; B. Bril, Eds.; pp. 91–108). McDonald Institute for Archaeological Research. </w:t>
      </w:r>
      <w:hyperlink r:id="rId50">
        <w:r>
          <w:rPr>
            <w:rStyle w:val="Hyperlink"/>
          </w:rPr>
          <w:t>https://shs.hal.science/halshs-00120262</w:t>
        </w:r>
      </w:hyperlink>
    </w:p>
    <w:p w14:paraId="6BDD7E30" w14:textId="77777777" w:rsidR="000E78DC" w:rsidRDefault="00000000" w:rsidP="008F1F08">
      <w:pPr>
        <w:pStyle w:val="Bibliography"/>
        <w:jc w:val="both"/>
      </w:pPr>
      <w:bookmarkStart w:id="67" w:name="ref-schiffer2010"/>
      <w:bookmarkEnd w:id="66"/>
      <w:r>
        <w:t xml:space="preserve">Schiffer, M. B. (2010). </w:t>
      </w:r>
      <w:r>
        <w:rPr>
          <w:i/>
          <w:iCs/>
        </w:rPr>
        <w:t>Behavioral Archaeology: Principles and Practice</w:t>
      </w:r>
      <w:r>
        <w:t>. Routledge.</w:t>
      </w:r>
    </w:p>
    <w:p w14:paraId="2B3EEDE7" w14:textId="77777777" w:rsidR="000E78DC" w:rsidRDefault="00000000" w:rsidP="008F1F08">
      <w:pPr>
        <w:pStyle w:val="Bibliography"/>
        <w:jc w:val="both"/>
      </w:pPr>
      <w:bookmarkStart w:id="68" w:name="ref-schillinger2016"/>
      <w:bookmarkEnd w:id="67"/>
      <w:r>
        <w:t xml:space="preserve">Schillinger, K., Mesoudi, A., &amp; Lycett, S. J. (2016). Copying error, evolution, and phylogenetic signal in artifactual traditions: An experimental approach using “model artifacts”. </w:t>
      </w:r>
      <w:r>
        <w:rPr>
          <w:i/>
          <w:iCs/>
        </w:rPr>
        <w:t>Journal of Archaeological Science</w:t>
      </w:r>
      <w:r>
        <w:t xml:space="preserve">, </w:t>
      </w:r>
      <w:r>
        <w:rPr>
          <w:i/>
          <w:iCs/>
        </w:rPr>
        <w:t>70</w:t>
      </w:r>
      <w:r>
        <w:t xml:space="preserve">, 23–34. </w:t>
      </w:r>
      <w:hyperlink r:id="rId51">
        <w:r>
          <w:rPr>
            <w:rStyle w:val="Hyperlink"/>
          </w:rPr>
          <w:t>https://doi.org/10.1016/j.jas.2016.04.013</w:t>
        </w:r>
      </w:hyperlink>
    </w:p>
    <w:p w14:paraId="28397124" w14:textId="77777777" w:rsidR="000E78DC" w:rsidRDefault="00000000" w:rsidP="008F1F08">
      <w:pPr>
        <w:pStyle w:val="Bibliography"/>
        <w:jc w:val="both"/>
      </w:pPr>
      <w:bookmarkStart w:id="69" w:name="ref-schmidt2020"/>
      <w:bookmarkEnd w:id="68"/>
      <w:r>
        <w:t xml:space="preserve">Schmidt, S. C., &amp; Marwick, B. (2020). Tool-Driven Revolutions in Archaeological Science. </w:t>
      </w:r>
      <w:r>
        <w:rPr>
          <w:i/>
          <w:iCs/>
        </w:rPr>
        <w:t>Journal of Computer Applications in Archaeology</w:t>
      </w:r>
      <w:r>
        <w:t xml:space="preserve">, </w:t>
      </w:r>
      <w:r>
        <w:rPr>
          <w:i/>
          <w:iCs/>
        </w:rPr>
        <w:t>3</w:t>
      </w:r>
      <w:r>
        <w:t xml:space="preserve">(1), 1832. </w:t>
      </w:r>
      <w:hyperlink r:id="rId52">
        <w:r>
          <w:rPr>
            <w:rStyle w:val="Hyperlink"/>
          </w:rPr>
          <w:t>https://doi.org/10.5334/jcaa.29</w:t>
        </w:r>
      </w:hyperlink>
    </w:p>
    <w:p w14:paraId="3EB62AB9" w14:textId="77777777" w:rsidR="000E78DC" w:rsidRDefault="00000000" w:rsidP="008F1F08">
      <w:pPr>
        <w:pStyle w:val="Bibliography"/>
        <w:jc w:val="both"/>
      </w:pPr>
      <w:bookmarkStart w:id="70" w:name="ref-shamay-tsoory2019"/>
      <w:bookmarkEnd w:id="69"/>
      <w:r>
        <w:t xml:space="preserve">Shamay-Tsoory, S. G., &amp; Mendelsohn, A. (2019). Real-Life Neuroscience: An Ecological Approach to Brain and Behavior Research. </w:t>
      </w:r>
      <w:r>
        <w:rPr>
          <w:i/>
          <w:iCs/>
        </w:rPr>
        <w:t>Perspectives on Psychological Science</w:t>
      </w:r>
      <w:r>
        <w:t xml:space="preserve">, </w:t>
      </w:r>
      <w:r>
        <w:rPr>
          <w:i/>
          <w:iCs/>
        </w:rPr>
        <w:t>14</w:t>
      </w:r>
      <w:r>
        <w:t xml:space="preserve">(5), 841–859. </w:t>
      </w:r>
      <w:hyperlink r:id="rId53">
        <w:r>
          <w:rPr>
            <w:rStyle w:val="Hyperlink"/>
          </w:rPr>
          <w:t>https://doi.org/10.1177/1745691619856350</w:t>
        </w:r>
      </w:hyperlink>
    </w:p>
    <w:p w14:paraId="6D91E155" w14:textId="77777777" w:rsidR="000E78DC" w:rsidRDefault="00000000" w:rsidP="008F1F08">
      <w:pPr>
        <w:pStyle w:val="Bibliography"/>
        <w:jc w:val="both"/>
      </w:pPr>
      <w:bookmarkStart w:id="71" w:name="ref-simon2015"/>
      <w:bookmarkEnd w:id="70"/>
      <w:r>
        <w:t xml:space="preserve">Simon, D. A., Gordon, A. S., Steiger, L., &amp; Gilmore, R. O. (2015). </w:t>
      </w:r>
      <w:r>
        <w:rPr>
          <w:i/>
          <w:iCs/>
        </w:rPr>
        <w:t>Databrary: Enabling sharing and reuse of research video</w:t>
      </w:r>
      <w:r>
        <w:t xml:space="preserve">. 279280. </w:t>
      </w:r>
      <w:hyperlink r:id="rId54">
        <w:r>
          <w:rPr>
            <w:rStyle w:val="Hyperlink"/>
          </w:rPr>
          <w:t>https://doi.org/10.1145/2756406.2756951</w:t>
        </w:r>
      </w:hyperlink>
    </w:p>
    <w:p w14:paraId="107E69D3" w14:textId="77777777" w:rsidR="000E78DC" w:rsidRDefault="00000000" w:rsidP="008F1F08">
      <w:pPr>
        <w:pStyle w:val="Bibliography"/>
        <w:jc w:val="both"/>
      </w:pPr>
      <w:bookmarkStart w:id="72" w:name="ref-sonkusare2019"/>
      <w:bookmarkEnd w:id="71"/>
      <w:r>
        <w:t xml:space="preserve">Sonkusare, S., Breakspear, M., &amp; Guo, C. (2019). Naturalistic Stimuli in Neuroscience: Critically Acclaimed. </w:t>
      </w:r>
      <w:r>
        <w:rPr>
          <w:i/>
          <w:iCs/>
        </w:rPr>
        <w:t>Trends in Cognitive Sciences</w:t>
      </w:r>
      <w:r>
        <w:t xml:space="preserve">, </w:t>
      </w:r>
      <w:r>
        <w:rPr>
          <w:i/>
          <w:iCs/>
        </w:rPr>
        <w:t>23</w:t>
      </w:r>
      <w:r>
        <w:t xml:space="preserve">(8), 699–714. </w:t>
      </w:r>
      <w:hyperlink r:id="rId55">
        <w:r>
          <w:rPr>
            <w:rStyle w:val="Hyperlink"/>
          </w:rPr>
          <w:t>https://doi.org/10.1016/j.tics.2019.05.004</w:t>
        </w:r>
      </w:hyperlink>
    </w:p>
    <w:p w14:paraId="5CAE8583" w14:textId="77777777" w:rsidR="000E78DC" w:rsidRDefault="00000000" w:rsidP="008F1F08">
      <w:pPr>
        <w:pStyle w:val="Bibliography"/>
        <w:jc w:val="both"/>
      </w:pPr>
      <w:bookmarkStart w:id="73" w:name="ref-stout2002"/>
      <w:bookmarkEnd w:id="72"/>
      <w:r>
        <w:t xml:space="preserve">Stout, D. (2002). Skill and cognition in stone tool production: An ethnographic case study from irian jaya. </w:t>
      </w:r>
      <w:r>
        <w:rPr>
          <w:i/>
          <w:iCs/>
        </w:rPr>
        <w:t>Current Anthropology</w:t>
      </w:r>
      <w:r>
        <w:t xml:space="preserve">, </w:t>
      </w:r>
      <w:r>
        <w:rPr>
          <w:i/>
          <w:iCs/>
        </w:rPr>
        <w:t>43</w:t>
      </w:r>
      <w:r>
        <w:t xml:space="preserve">(5), 693–722. </w:t>
      </w:r>
      <w:hyperlink r:id="rId56">
        <w:r>
          <w:rPr>
            <w:rStyle w:val="Hyperlink"/>
          </w:rPr>
          <w:t>https://doi.org/10.1086/342638</w:t>
        </w:r>
      </w:hyperlink>
    </w:p>
    <w:p w14:paraId="2E44E5D5" w14:textId="77777777" w:rsidR="000E78DC" w:rsidRDefault="00000000" w:rsidP="008F1F08">
      <w:pPr>
        <w:pStyle w:val="Bibliography"/>
        <w:jc w:val="both"/>
      </w:pPr>
      <w:bookmarkStart w:id="74" w:name="ref-stoutCognitiveScienceTechnology2021"/>
      <w:bookmarkEnd w:id="73"/>
      <w:r>
        <w:t xml:space="preserve">Stout, D. (2021). The cognitive science of technology. </w:t>
      </w:r>
      <w:r>
        <w:rPr>
          <w:i/>
          <w:iCs/>
        </w:rPr>
        <w:t>Trends in Cognitive Sciences</w:t>
      </w:r>
      <w:r>
        <w:t xml:space="preserve">, </w:t>
      </w:r>
      <w:r>
        <w:rPr>
          <w:i/>
          <w:iCs/>
        </w:rPr>
        <w:t>25</w:t>
      </w:r>
      <w:r>
        <w:t xml:space="preserve">(11), 964–977. </w:t>
      </w:r>
      <w:hyperlink r:id="rId57">
        <w:r>
          <w:rPr>
            <w:rStyle w:val="Hyperlink"/>
          </w:rPr>
          <w:t>https://doi.org/10.1016/j.tics.2021.07.005</w:t>
        </w:r>
      </w:hyperlink>
    </w:p>
    <w:p w14:paraId="2431DDCB" w14:textId="77777777" w:rsidR="000E78DC" w:rsidRDefault="00000000" w:rsidP="008F1F08">
      <w:pPr>
        <w:pStyle w:val="Bibliography"/>
        <w:jc w:val="both"/>
      </w:pPr>
      <w:bookmarkStart w:id="75" w:name="ref-stout2021"/>
      <w:bookmarkEnd w:id="74"/>
      <w:r>
        <w:t xml:space="preserve">Stout, D., Chaminade, T., Apel, J., Shafti, A., &amp; Faisal, A. A. (2021). The measurement, evolution, and neural representation of action grammars of human behavior. </w:t>
      </w:r>
      <w:r>
        <w:rPr>
          <w:i/>
          <w:iCs/>
        </w:rPr>
        <w:t>Scientific Reports</w:t>
      </w:r>
      <w:r>
        <w:t xml:space="preserve">, </w:t>
      </w:r>
      <w:r>
        <w:rPr>
          <w:i/>
          <w:iCs/>
        </w:rPr>
        <w:t>11</w:t>
      </w:r>
      <w:r>
        <w:t xml:space="preserve">(1). </w:t>
      </w:r>
      <w:hyperlink r:id="rId58">
        <w:r>
          <w:rPr>
            <w:rStyle w:val="Hyperlink"/>
          </w:rPr>
          <w:t>https://doi.org/10.1038/s41598-021-92992-5</w:t>
        </w:r>
      </w:hyperlink>
    </w:p>
    <w:p w14:paraId="28167E2D" w14:textId="77777777" w:rsidR="000E78DC" w:rsidRDefault="00000000" w:rsidP="008F1F08">
      <w:pPr>
        <w:pStyle w:val="Bibliography"/>
        <w:jc w:val="both"/>
      </w:pPr>
      <w:bookmarkStart w:id="76" w:name="ref-stout2023"/>
      <w:bookmarkEnd w:id="75"/>
      <w:r>
        <w:t xml:space="preserve">Stout, D., &amp; Hecht, E. (2023). </w:t>
      </w:r>
      <w:r>
        <w:rPr>
          <w:i/>
          <w:iCs/>
        </w:rPr>
        <w:t>Evolutionary neuroarchaeology</w:t>
      </w:r>
      <w:r>
        <w:t xml:space="preserve"> (T. Wynn, K. A. Overmann, &amp; F. L. Coolidge, Eds.; pp. C14.S1–C14.S11). Oxford University Press. </w:t>
      </w:r>
      <w:hyperlink r:id="rId59">
        <w:r>
          <w:rPr>
            <w:rStyle w:val="Hyperlink"/>
          </w:rPr>
          <w:t>https://doi.org/10.1093/oxfordhb/9780192895950.013.14</w:t>
        </w:r>
      </w:hyperlink>
    </w:p>
    <w:p w14:paraId="01F35E7E" w14:textId="77777777" w:rsidR="000E78DC" w:rsidRDefault="00000000" w:rsidP="008F1F08">
      <w:pPr>
        <w:pStyle w:val="Bibliography"/>
        <w:jc w:val="both"/>
      </w:pPr>
      <w:bookmarkStart w:id="77" w:name="ref-syed2022"/>
      <w:bookmarkEnd w:id="76"/>
      <w:r>
        <w:t xml:space="preserve">Syed, M., &amp; McLean, K. C. (2022). Disentangling paradigm and method can help bring qualitative research to post-positivist psychology and address the generalizability crisis. </w:t>
      </w:r>
      <w:r>
        <w:rPr>
          <w:i/>
          <w:iCs/>
        </w:rPr>
        <w:t>Behavioral and Brain Sciences</w:t>
      </w:r>
      <w:r>
        <w:t xml:space="preserve">, </w:t>
      </w:r>
      <w:r>
        <w:rPr>
          <w:i/>
          <w:iCs/>
        </w:rPr>
        <w:t>45</w:t>
      </w:r>
      <w:r>
        <w:t xml:space="preserve">, e32. </w:t>
      </w:r>
      <w:hyperlink r:id="rId60">
        <w:r>
          <w:rPr>
            <w:rStyle w:val="Hyperlink"/>
          </w:rPr>
          <w:t>https://doi.org/10.1017/S0140525X21000431</w:t>
        </w:r>
      </w:hyperlink>
    </w:p>
    <w:p w14:paraId="707CA897" w14:textId="77777777" w:rsidR="000E78DC" w:rsidRDefault="00000000" w:rsidP="008F1F08">
      <w:pPr>
        <w:pStyle w:val="Bibliography"/>
        <w:jc w:val="both"/>
      </w:pPr>
      <w:bookmarkStart w:id="78" w:name="ref-timbrell2023"/>
      <w:bookmarkEnd w:id="77"/>
      <w:r>
        <w:lastRenderedPageBreak/>
        <w:t xml:space="preserve">Timbrell, L. (2023). A Collaborative Model for Lithic Shape Digitization in Museum Settings. </w:t>
      </w:r>
      <w:r>
        <w:rPr>
          <w:i/>
          <w:iCs/>
        </w:rPr>
        <w:t>Lithic Technology</w:t>
      </w:r>
      <w:r>
        <w:t xml:space="preserve">, </w:t>
      </w:r>
      <w:r>
        <w:rPr>
          <w:i/>
          <w:iCs/>
        </w:rPr>
        <w:t>48</w:t>
      </w:r>
      <w:r>
        <w:t xml:space="preserve">(1), 31–42. </w:t>
      </w:r>
      <w:hyperlink r:id="rId61">
        <w:r>
          <w:rPr>
            <w:rStyle w:val="Hyperlink"/>
          </w:rPr>
          <w:t>https://doi.org/10.1080/01977261.2022.2092299</w:t>
        </w:r>
      </w:hyperlink>
    </w:p>
    <w:p w14:paraId="795C9820" w14:textId="77777777" w:rsidR="000E78DC" w:rsidRDefault="00000000" w:rsidP="008F1F08">
      <w:pPr>
        <w:pStyle w:val="Bibliography"/>
        <w:jc w:val="both"/>
      </w:pPr>
      <w:bookmarkStart w:id="79" w:name="ref-varela2017"/>
      <w:bookmarkEnd w:id="78"/>
      <w:r>
        <w:t xml:space="preserve">Varela, F. J., Thompson, E., &amp; Rosch, E. (2017). </w:t>
      </w:r>
      <w:r>
        <w:rPr>
          <w:i/>
          <w:iCs/>
        </w:rPr>
        <w:t>The Embodied Mind: Cognitive Science and Human Experience</w:t>
      </w:r>
      <w:r>
        <w:t xml:space="preserve"> (revised edition). The MIT Press.</w:t>
      </w:r>
    </w:p>
    <w:p w14:paraId="7044EA59" w14:textId="77777777" w:rsidR="000E78DC" w:rsidRDefault="00000000" w:rsidP="008F1F08">
      <w:pPr>
        <w:pStyle w:val="Bibliography"/>
        <w:jc w:val="both"/>
      </w:pPr>
      <w:bookmarkStart w:id="80" w:name="ref-weger2019"/>
      <w:bookmarkEnd w:id="79"/>
      <w:r>
        <w:t xml:space="preserve">Weger, U. W., Wagemann, J., &amp; Tewes, C. (2019). Editorial: The challenges and opportunities of introspection in psychology: Theory and method. </w:t>
      </w:r>
      <w:r>
        <w:rPr>
          <w:i/>
          <w:iCs/>
        </w:rPr>
        <w:t>Frontiers in Psychology</w:t>
      </w:r>
      <w:r>
        <w:t xml:space="preserve">, </w:t>
      </w:r>
      <w:r>
        <w:rPr>
          <w:i/>
          <w:iCs/>
        </w:rPr>
        <w:t>10</w:t>
      </w:r>
      <w:r>
        <w:t xml:space="preserve">. </w:t>
      </w:r>
      <w:hyperlink r:id="rId62">
        <w:r>
          <w:rPr>
            <w:rStyle w:val="Hyperlink"/>
          </w:rPr>
          <w:t>https://www.frontiersin.org/articles/10.3389/fpsyg.2019.02196</w:t>
        </w:r>
      </w:hyperlink>
    </w:p>
    <w:p w14:paraId="1EDF59BC" w14:textId="77777777" w:rsidR="000E78DC" w:rsidRDefault="00000000" w:rsidP="008F1F08">
      <w:pPr>
        <w:pStyle w:val="Bibliography"/>
        <w:jc w:val="both"/>
      </w:pPr>
      <w:bookmarkStart w:id="81" w:name="ref-whittaker1994"/>
      <w:bookmarkEnd w:id="80"/>
      <w:r>
        <w:t xml:space="preserve">Whittaker, J. C. (1994). </w:t>
      </w:r>
      <w:r>
        <w:rPr>
          <w:i/>
          <w:iCs/>
        </w:rPr>
        <w:t>Flintknapping: Making and Understanding Stone Tools</w:t>
      </w:r>
      <w:r>
        <w:t>. University of Texas Press.</w:t>
      </w:r>
    </w:p>
    <w:p w14:paraId="79824F72" w14:textId="77777777" w:rsidR="000E78DC" w:rsidRDefault="00000000" w:rsidP="008F1F08">
      <w:pPr>
        <w:pStyle w:val="Bibliography"/>
        <w:jc w:val="both"/>
      </w:pPr>
      <w:bookmarkStart w:id="82" w:name="ref-whittaker2004"/>
      <w:bookmarkEnd w:id="81"/>
      <w:r>
        <w:t xml:space="preserve">Whittaker, J. C. (2004). </w:t>
      </w:r>
      <w:r>
        <w:rPr>
          <w:i/>
          <w:iCs/>
        </w:rPr>
        <w:t>American Flintknappers: Stone Age Art in the Age of Computers</w:t>
      </w:r>
      <w:r>
        <w:t>. University of Texas Press.</w:t>
      </w:r>
    </w:p>
    <w:p w14:paraId="172EB390" w14:textId="77777777" w:rsidR="000E78DC" w:rsidRDefault="00000000" w:rsidP="008F1F08">
      <w:pPr>
        <w:pStyle w:val="Bibliography"/>
        <w:jc w:val="both"/>
      </w:pPr>
      <w:bookmarkStart w:id="83" w:name="ref-wilkinson2016"/>
      <w:bookmarkEnd w:id="82"/>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63">
        <w:r>
          <w:rPr>
            <w:rStyle w:val="Hyperlink"/>
          </w:rPr>
          <w:t>https://doi.org/10.1038/sdata.2016.18</w:t>
        </w:r>
      </w:hyperlink>
    </w:p>
    <w:p w14:paraId="75AB6B8F" w14:textId="77777777" w:rsidR="000E78DC" w:rsidRDefault="00000000" w:rsidP="008F1F08">
      <w:pPr>
        <w:pStyle w:val="Bibliography"/>
        <w:jc w:val="both"/>
      </w:pPr>
      <w:bookmarkStart w:id="84" w:name="ref-yarkoni2022"/>
      <w:bookmarkEnd w:id="83"/>
      <w:r>
        <w:t xml:space="preserve">Yarkoni, T. (2022). The generalizability crisis. </w:t>
      </w:r>
      <w:r>
        <w:rPr>
          <w:i/>
          <w:iCs/>
        </w:rPr>
        <w:t>Behavioral and Brain Sciences</w:t>
      </w:r>
      <w:r>
        <w:t xml:space="preserve">, </w:t>
      </w:r>
      <w:r>
        <w:rPr>
          <w:i/>
          <w:iCs/>
        </w:rPr>
        <w:t>45</w:t>
      </w:r>
      <w:r>
        <w:t xml:space="preserve">, e1. </w:t>
      </w:r>
      <w:hyperlink r:id="rId64">
        <w:r>
          <w:rPr>
            <w:rStyle w:val="Hyperlink"/>
          </w:rPr>
          <w:t>https://doi.org/10.1017/S0140525X20001685</w:t>
        </w:r>
      </w:hyperlink>
      <w:bookmarkEnd w:id="10"/>
      <w:bookmarkEnd w:id="12"/>
      <w:bookmarkEnd w:id="84"/>
    </w:p>
    <w:sectPr w:rsidR="000E78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C680" w14:textId="77777777" w:rsidR="009F07E4" w:rsidRDefault="009F07E4">
      <w:pPr>
        <w:spacing w:after="0"/>
      </w:pPr>
      <w:r>
        <w:separator/>
      </w:r>
    </w:p>
  </w:endnote>
  <w:endnote w:type="continuationSeparator" w:id="0">
    <w:p w14:paraId="0B0781D1" w14:textId="77777777" w:rsidR="009F07E4" w:rsidRDefault="009F0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8325" w14:textId="77777777" w:rsidR="009F07E4" w:rsidRDefault="009F07E4">
      <w:r>
        <w:separator/>
      </w:r>
    </w:p>
  </w:footnote>
  <w:footnote w:type="continuationSeparator" w:id="0">
    <w:p w14:paraId="32C1EABB" w14:textId="77777777" w:rsidR="009F07E4" w:rsidRDefault="009F07E4">
      <w:r>
        <w:continuationSeparator/>
      </w:r>
    </w:p>
  </w:footnote>
  <w:footnote w:id="1">
    <w:p w14:paraId="16592681" w14:textId="77777777" w:rsidR="000E78DC" w:rsidRDefault="00000000">
      <w:pPr>
        <w:pStyle w:val="FootnoteText"/>
      </w:pPr>
      <w:r>
        <w:rPr>
          <w:rStyle w:val="FootnoteReference"/>
        </w:rPr>
        <w:footnoteRef/>
      </w:r>
      <w:r>
        <w:t xml:space="preserve"> Department of Anthropology, Emory University, Atlanta, GA, USA; </w:t>
      </w:r>
      <w:hyperlink r:id="rId1">
        <w:r>
          <w:rPr>
            <w:rStyle w:val="Hyperlink"/>
          </w:rPr>
          <w:t>cheng.liu@emory.edu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7A3C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547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78DC"/>
    <w:rsid w:val="000E78DC"/>
    <w:rsid w:val="008F1F08"/>
    <w:rsid w:val="009F07E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F2DD"/>
  <w15:docId w15:val="{CAEEFBB4-5E86-42A1-B372-CE794A7F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1076-898X.5.2.205" TargetMode="External"/><Relationship Id="rId21" Type="http://schemas.openxmlformats.org/officeDocument/2006/relationships/hyperlink" Target="https://doi.org/10.1111/2041-210X.12584" TargetMode="External"/><Relationship Id="rId34" Type="http://schemas.openxmlformats.org/officeDocument/2006/relationships/hyperlink" Target="https://doi.org/10.4207/PA.2014.ART90" TargetMode="External"/><Relationship Id="rId42" Type="http://schemas.openxmlformats.org/officeDocument/2006/relationships/hyperlink" Target="https://www.jstor.org/stable/40025310" TargetMode="External"/><Relationship Id="rId47" Type="http://schemas.openxmlformats.org/officeDocument/2006/relationships/hyperlink" Target="https://www.jstor.org/stable/27825902" TargetMode="External"/><Relationship Id="rId50" Type="http://schemas.openxmlformats.org/officeDocument/2006/relationships/hyperlink" Target="https://shs.hal.science/halshs-00120262" TargetMode="External"/><Relationship Id="rId55" Type="http://schemas.openxmlformats.org/officeDocument/2006/relationships/hyperlink" Target="https://doi.org/10.1016/j.tics.2019.05.004" TargetMode="External"/><Relationship Id="rId63" Type="http://schemas.openxmlformats.org/officeDocument/2006/relationships/hyperlink" Target="https://doi.org/10.1038/sdata.2016.18"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oi.org/10.2307/j.ctv1c29t27" TargetMode="External"/><Relationship Id="rId29" Type="http://schemas.openxmlformats.org/officeDocument/2006/relationships/hyperlink" Target="https://doi.org/10.1007/s10816-022-09586-2" TargetMode="External"/><Relationship Id="rId11" Type="http://schemas.openxmlformats.org/officeDocument/2006/relationships/hyperlink" Target="https://doi.org/10.1016/j.tics.2020.05.007" TargetMode="External"/><Relationship Id="rId24" Type="http://schemas.openxmlformats.org/officeDocument/2006/relationships/hyperlink" Target="https://doi.org/10.1016/j.cub.2021.01.096" TargetMode="External"/><Relationship Id="rId32" Type="http://schemas.openxmlformats.org/officeDocument/2006/relationships/hyperlink" Target="https://doi.org/10.1002/evan.21964" TargetMode="External"/><Relationship Id="rId37" Type="http://schemas.openxmlformats.org/officeDocument/2006/relationships/hyperlink" Target="https://doi.org/10.1016/j.neuron.2021.05.021" TargetMode="External"/><Relationship Id="rId40" Type="http://schemas.openxmlformats.org/officeDocument/2006/relationships/hyperlink" Target="https://doi.org/10.1017/S0959774323000070" TargetMode="External"/><Relationship Id="rId45" Type="http://schemas.openxmlformats.org/officeDocument/2006/relationships/hyperlink" Target="https://doi.org/10.1007/s10816-021-09511-z" TargetMode="External"/><Relationship Id="rId53" Type="http://schemas.openxmlformats.org/officeDocument/2006/relationships/hyperlink" Target="https://doi.org/10.1177/1745691619856350" TargetMode="External"/><Relationship Id="rId58" Type="http://schemas.openxmlformats.org/officeDocument/2006/relationships/hyperlink" Target="https://doi.org/10.1038/s41598-021-92992-5"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80/01977261.2022.2092299" TargetMode="External"/><Relationship Id="rId19" Type="http://schemas.openxmlformats.org/officeDocument/2006/relationships/hyperlink" Target="https://doi.org/10.1146/annurev.an.13.100184.001155" TargetMode="External"/><Relationship Id="rId14" Type="http://schemas.openxmlformats.org/officeDocument/2006/relationships/hyperlink" Target="https://doi.org/10.5334/dsj-2020-043" TargetMode="External"/><Relationship Id="rId22" Type="http://schemas.openxmlformats.org/officeDocument/2006/relationships/hyperlink" Target="https://doi.org/10.1080/00141844.2018.1455726" TargetMode="External"/><Relationship Id="rId27" Type="http://schemas.openxmlformats.org/officeDocument/2006/relationships/hyperlink" Target="https://doi.org/10.1086/202078" TargetMode="External"/><Relationship Id="rId30" Type="http://schemas.openxmlformats.org/officeDocument/2006/relationships/hyperlink" Target="https://doi.org/10.1007/s10816-017-9351-1" TargetMode="External"/><Relationship Id="rId35" Type="http://schemas.openxmlformats.org/officeDocument/2006/relationships/hyperlink" Target="https://doi.org/10.1016/j.quascirev.2020.106431" TargetMode="External"/><Relationship Id="rId43" Type="http://schemas.openxmlformats.org/officeDocument/2006/relationships/hyperlink" Target="https://doi.org/10.1007/s10816-022-09592-4" TargetMode="External"/><Relationship Id="rId48" Type="http://schemas.openxmlformats.org/officeDocument/2006/relationships/hyperlink" Target="https://ore.exeter.ac.uk/repository/handle/10871/9041" TargetMode="External"/><Relationship Id="rId56" Type="http://schemas.openxmlformats.org/officeDocument/2006/relationships/hyperlink" Target="https://doi.org/10.1086/342638" TargetMode="External"/><Relationship Id="rId64" Type="http://schemas.openxmlformats.org/officeDocument/2006/relationships/hyperlink" Target="https://doi.org/10.1017/S0140525X20001685" TargetMode="External"/><Relationship Id="rId8" Type="http://schemas.openxmlformats.org/officeDocument/2006/relationships/image" Target="media/image2.jpg"/><Relationship Id="rId51" Type="http://schemas.openxmlformats.org/officeDocument/2006/relationships/hyperlink" Target="https://doi.org/10.1016/j.jas.2016.04.013" TargetMode="External"/><Relationship Id="rId3" Type="http://schemas.openxmlformats.org/officeDocument/2006/relationships/settings" Target="settings.xml"/><Relationship Id="rId12" Type="http://schemas.openxmlformats.org/officeDocument/2006/relationships/hyperlink" Target="https://doi.org/10.2218/jls.v3i1.1522" TargetMode="External"/><Relationship Id="rId17" Type="http://schemas.openxmlformats.org/officeDocument/2006/relationships/hyperlink" Target="https://doi.org/10.1080/00438240701843629" TargetMode="External"/><Relationship Id="rId25" Type="http://schemas.openxmlformats.org/officeDocument/2006/relationships/hyperlink" Target="https://doi.org/10.1257/aer.91.2.73" TargetMode="External"/><Relationship Id="rId33" Type="http://schemas.openxmlformats.org/officeDocument/2006/relationships/hyperlink" Target="https://doi.org/10.1038/s41598-017-14322-y" TargetMode="External"/><Relationship Id="rId38" Type="http://schemas.openxmlformats.org/officeDocument/2006/relationships/hyperlink" Target="https://doi.org/10.15184/aqy.2023.98" TargetMode="External"/><Relationship Id="rId46" Type="http://schemas.openxmlformats.org/officeDocument/2006/relationships/hyperlink" Target="https://doi.org/10.1002/evan.21823" TargetMode="External"/><Relationship Id="rId59" Type="http://schemas.openxmlformats.org/officeDocument/2006/relationships/hyperlink" Target="https://doi.org/10.1093/oxfordhb/9780192895950.013.14" TargetMode="External"/><Relationship Id="rId20" Type="http://schemas.openxmlformats.org/officeDocument/2006/relationships/hyperlink" Target="https://doi.org/10.1016/bs.asb.2018.01.001" TargetMode="External"/><Relationship Id="rId41" Type="http://schemas.openxmlformats.org/officeDocument/2006/relationships/hyperlink" Target="https://doi.org/10.1016/j.neuroimage.2020.117254" TargetMode="External"/><Relationship Id="rId54" Type="http://schemas.openxmlformats.org/officeDocument/2006/relationships/hyperlink" Target="https://doi.org/10.1145/2756406.2756951" TargetMode="External"/><Relationship Id="rId62" Type="http://schemas.openxmlformats.org/officeDocument/2006/relationships/hyperlink" Target="https://www.frontiersin.org/articles/10.3389/fpsyg.2019.0219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1977261.2019.1587255" TargetMode="External"/><Relationship Id="rId23" Type="http://schemas.openxmlformats.org/officeDocument/2006/relationships/hyperlink" Target="https://www.frontiersin.org/articles/10.3389/fpsyg.2014.01472" TargetMode="External"/><Relationship Id="rId28" Type="http://schemas.openxmlformats.org/officeDocument/2006/relationships/hyperlink" Target="https://doi.org/10.1007/s00146-022-01573-1" TargetMode="External"/><Relationship Id="rId36" Type="http://schemas.openxmlformats.org/officeDocument/2006/relationships/hyperlink" Target="https://doi.org/10.1371/journal.pone.0273118" TargetMode="External"/><Relationship Id="rId49" Type="http://schemas.openxmlformats.org/officeDocument/2006/relationships/hyperlink" Target="https://www.jstor.org/stable/20616293" TargetMode="External"/><Relationship Id="rId57" Type="http://schemas.openxmlformats.org/officeDocument/2006/relationships/hyperlink" Target="https://doi.org/10.1016/j.tics.2021.07.005" TargetMode="External"/><Relationship Id="rId10" Type="http://schemas.openxmlformats.org/officeDocument/2006/relationships/hyperlink" Target="https://doi.org/10.1017/S0959774320000347" TargetMode="External"/><Relationship Id="rId31" Type="http://schemas.openxmlformats.org/officeDocument/2006/relationships/hyperlink" Target="https://doi.org/10.1016/j.jasrep.2023.103974" TargetMode="External"/><Relationship Id="rId44" Type="http://schemas.openxmlformats.org/officeDocument/2006/relationships/hyperlink" Target="https://doi.org/10.1007/s12520-018-0729-0" TargetMode="External"/><Relationship Id="rId52" Type="http://schemas.openxmlformats.org/officeDocument/2006/relationships/hyperlink" Target="https://doi.org/10.5334/jcaa.29" TargetMode="External"/><Relationship Id="rId60" Type="http://schemas.openxmlformats.org/officeDocument/2006/relationships/hyperlink" Target="https://doi.org/10.1017/S0140525X2100043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8/rsfs.2017.0004" TargetMode="External"/><Relationship Id="rId13" Type="http://schemas.openxmlformats.org/officeDocument/2006/relationships/hyperlink" Target="https://doi.org/10.1080/00031305.2017.1375989" TargetMode="External"/><Relationship Id="rId18" Type="http://schemas.openxmlformats.org/officeDocument/2006/relationships/hyperlink" Target="https://doi.org/10.1080/19442890.2016.1213972" TargetMode="External"/><Relationship Id="rId39" Type="http://schemas.openxmlformats.org/officeDocument/2006/relationships/hyperlink" Target="https://doi.org/10.1017/S095977432000019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cheng.liu@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6626</Words>
  <Characters>37769</Characters>
  <Application>Microsoft Office Word</Application>
  <DocSecurity>0</DocSecurity>
  <Lines>314</Lines>
  <Paragraphs>88</Paragraphs>
  <ScaleCrop>false</ScaleCrop>
  <Company/>
  <LinksUpToDate>false</LinksUpToDate>
  <CharactersWithSpaces>44307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cp:lastModifiedBy>Cheng Liu</cp:lastModifiedBy>
  <cp:revision>2</cp:revision>
  <dcterms:created xsi:type="dcterms:W3CDTF">2023-09-26T03:03:00Z</dcterms:created>
  <dcterms:modified xsi:type="dcterms:W3CDTF">2023-09-26T03:03:00Z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outline of the Perception-Process-Product (‘Triple P’) conceptual framework that aims to expand the scope of experimental archaeology. The Triple P framework emphasizes multi-level variation and interactions across the levels of perception, process, and product in order to provide a more contextualized and comprehensive explanation of the past archaeological record. I propose the following three ontologically and epistemologically based principles to put the Triple P framework into practice: 1) acknowledging the inherent trade-off between control and generalizability in actualistic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Ethnographical analysis;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2023-09-25</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