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2023-08-14</w:t>
      </w:r>
    </w:p>
    <w:p>
      <w:pPr>
        <w:pStyle w:val="Abstract"/>
      </w:pP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variabilty</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I</w:t>
      </w:r>
      <w:r>
        <w:t xml:space="preserve"> </w:t>
      </w:r>
      <w:r>
        <w:t xml:space="preserve">propose</w:t>
      </w:r>
      <w:r>
        <w:t xml:space="preserve"> </w:t>
      </w:r>
      <w:r>
        <w:t xml:space="preserve">the</w:t>
      </w:r>
      <w:r>
        <w:t xml:space="preserve"> </w:t>
      </w:r>
      <w:r>
        <w:t xml:space="preserve">following</w:t>
      </w:r>
      <w:r>
        <w:t xml:space="preserve"> </w:t>
      </w:r>
      <w:r>
        <w:t xml:space="preserve">five</w:t>
      </w:r>
      <w:r>
        <w:t xml:space="preserve"> </w:t>
      </w:r>
      <w:r>
        <w:t xml:space="preserve">basic</w:t>
      </w:r>
      <w:r>
        <w:t xml:space="preserve"> </w:t>
      </w:r>
      <w:r>
        <w:t xml:space="preserve">measures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acknowledging</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properly;</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involves</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The</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Adopting the principle of Occam’s razor</w:t>
      </w:r>
      <w:r>
        <w:t xml:space="preserve"> </w:t>
      </w:r>
      <w:r>
        <w:t xml:space="preserve">(e.g.,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w:t>
      </w:r>
      <w:r>
        <w:t xml:space="preserve"> </w:t>
      </w:r>
      <w:r>
        <w:t xml:space="preserve">(</w:t>
      </w:r>
      <w:hyperlink w:anchor="ref-armstrong2018">
        <w:r>
          <w:rPr>
            <w:rStyle w:val="Hyperlink"/>
          </w:rPr>
          <w:t xml:space="preserve">Armstrong &amp; Mindermann, 2018</w:t>
        </w:r>
      </w:hyperlink>
      <w:r>
        <w:t xml:space="preserve">)</w:t>
      </w:r>
      <w:r>
        <w:t xml:space="preserve"> </w:t>
      </w:r>
      <w:r>
        <w:t xml:space="preserve">in tool design and use, and the two conditions described here, I believe, provide a better approximation of past humans displaying extensive cultural variability as opposed to the assumption of omniscient</w:t>
      </w:r>
      <w:r>
        <w:t xml:space="preserve"> </w:t>
      </w:r>
      <w:r>
        <w:rPr>
          <w:iCs/>
          <w:i/>
        </w:rPr>
        <w:t xml:space="preserve">Homo economicus</w:t>
      </w:r>
      <w:r>
        <w:t xml:space="preserve"> </w:t>
      </w:r>
      <w:r>
        <w:t xml:space="preserve">for most social scientists in the post-Kahneman era, but particularly anthropologists and archaeologists</w:t>
      </w:r>
      <w:r>
        <w:t xml:space="preserve"> </w:t>
      </w:r>
      <w:r>
        <w:t xml:space="preserve">(</w:t>
      </w:r>
      <w:hyperlink w:anchor="ref-henrichSearchHomoEconomicus2001">
        <w:r>
          <w:rPr>
            <w:rStyle w:val="Hyperlink"/>
          </w:rPr>
          <w:t xml:space="preserve">Henrich et al., 2001</w:t>
        </w:r>
      </w:hyperlink>
      <w:r>
        <w:t xml:space="preserve">)</w:t>
      </w:r>
      <w:r>
        <w:t xml:space="preserve">.</w:t>
      </w:r>
    </w:p>
    <w:p>
      <w:pPr>
        <w:pStyle w:val="BodyText"/>
      </w:pPr>
      <w:r>
        <w:t xml:space="preserve">As such, built upon early intellectual principles and practices in behavioral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variability in experimental replicas (product) and their associated behavioral channels (process) as well as sensory experiences (perception) and</w:t>
      </w:r>
      <w:r>
        <w:t xml:space="preserve"> </w:t>
      </w:r>
      <w:r>
        <w:rPr>
          <w:bCs/>
          <w:b/>
        </w:rPr>
        <w:t xml:space="preserve">b)</w:t>
      </w:r>
      <w:r>
        <w:t xml:space="preserve"> </w:t>
      </w:r>
      <w:r>
        <w:t xml:space="preserve">better identify the complex interacting relationships across these three levels of variations. To accomplish these two objectives, I advocate the following three measures as integral components of the Triple P framework: 1) acknowledging the contribution and limitations of actualistic experiments properly; 2) encouraging collaborative projects that involves geographically diverse and non-traditional research participants such as hobbyists and novices; 3) adopting a workflow that normalize the collection and curation of ethological and ethnographic data in experimental projects. It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artifacts to clarify its meaning and demonstrate the necessity and potential of this framework.</w:t>
      </w:r>
    </w:p>
    <w:bookmarkEnd w:id="22"/>
    <w:bookmarkStart w:id="23" w:name="what-good-is-actualistic-experiment"/>
    <w:p>
      <w:pPr>
        <w:pStyle w:val="Heading1"/>
      </w:pPr>
      <w:r>
        <w:t xml:space="preserve">What good is actualistic experiment?</w:t>
      </w:r>
    </w:p>
    <w:p>
      <w:pPr>
        <w:pStyle w:val="FirstParagraph"/>
      </w:pPr>
      <w:r>
        <w:t xml:space="preserve">The trade-off between causality (aka</w:t>
      </w:r>
      <w:r>
        <w:t xml:space="preserve"> </w:t>
      </w:r>
      <w:r>
        <w:t xml:space="preserve">“</w:t>
      </w:r>
      <w:r>
        <w:t xml:space="preserve">internal validity</w:t>
      </w:r>
      <w:r>
        <w:t xml:space="preserve">”</w:t>
      </w:r>
      <w:r>
        <w:t xml:space="preserve">) and generalizability (aka</w:t>
      </w:r>
      <w:r>
        <w:t xml:space="preserve"> </w:t>
      </w:r>
      <w:r>
        <w:t xml:space="preserve">“</w:t>
      </w:r>
      <w:r>
        <w:t xml:space="preserve">external validity</w:t>
      </w:r>
      <w:r>
        <w:t xml:space="preserve">”</w:t>
      </w:r>
      <w:r>
        <w:t xml:space="preserve">) forms a central issue in experimental design</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and the past decades have witnessed experimental archaeology’s growing research interests focusing on the causal mechanism at the behavioral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artifact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artifact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is incapable of inferring how context-generic principles interact in a particular context as reflected in real-world conditions. In addition to the applications of machine knapping, the same problem is also incurred by the introduction of standardized artificial material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in experimental studies focusing on the transmission of lithic technologies, which was demonstrated to be problematic</w:t>
      </w:r>
      <w:r>
        <w:t xml:space="preserve"> </w:t>
      </w:r>
      <w:r>
        <w:t xml:space="preserve">(</w:t>
      </w:r>
      <w:hyperlink w:anchor="ref-liu2023">
        <w:r>
          <w:rPr>
            <w:rStyle w:val="Hyperlink"/>
          </w:rPr>
          <w:t xml:space="preserve">Liu et al., 2023</w:t>
        </w:r>
      </w:hyperlink>
      <w:r>
        <w:t xml:space="preserve">)</w:t>
      </w:r>
      <w:r>
        <w:t xml:space="preserve">. In reality, each rock has a different shape and often different physical properties such as inner cracks and inclusions, and this heterogeneity itself represents a critical variable in the process of skill acquisition. After all, these experimental results can only be as robust as their experimental settings.</w:t>
      </w:r>
    </w:p>
    <w:p>
      <w:pPr>
        <w:pStyle w:val="BodyText"/>
      </w:pPr>
      <w:r>
        <w:t xml:space="preserve">More importantly, controlled experiments without randomization are not enough to infer causal mechanisms, which may be severely biased by factors such as individual differences</w:t>
      </w:r>
      <w:r>
        <w:t xml:space="preserve"> </w:t>
      </w:r>
      <w:r>
        <w:t xml:space="preserve">(</w:t>
      </w:r>
      <w:hyperlink w:anchor="ref-pargeter2023">
        <w:r>
          <w:rPr>
            <w:rStyle w:val="Hyperlink"/>
          </w:rPr>
          <w:t xml:space="preserve">Pargeter et al., 2023</w:t>
        </w:r>
      </w:hyperlink>
      <w:r>
        <w:t xml:space="preserve">)</w:t>
      </w:r>
      <w:r>
        <w:t xml:space="preserve">, allocation concealment</w:t>
      </w:r>
      <w:r>
        <w:t xml:space="preserve"> </w:t>
      </w:r>
      <w:r>
        <w:t xml:space="preserve">(</w:t>
      </w:r>
      <w:hyperlink w:anchor="ref-schulz2002">
        <w:r>
          <w:rPr>
            <w:rStyle w:val="Hyperlink"/>
          </w:rPr>
          <w:t xml:space="preserve">Schulz &amp; Grimes, 2002</w:t>
        </w:r>
      </w:hyperlink>
      <w:r>
        <w:t xml:space="preserve">)</w:t>
      </w:r>
      <w:r>
        <w:t xml:space="preserve">, and poor recruitment</w:t>
      </w:r>
      <w:r>
        <w:t xml:space="preserve"> </w:t>
      </w:r>
      <w:r>
        <w:t xml:space="preserve">(</w:t>
      </w:r>
      <w:hyperlink w:anchor="ref-fletcher2012">
        <w:r>
          <w:rPr>
            <w:rStyle w:val="Hyperlink"/>
          </w:rPr>
          <w:t xml:space="preserve">Fletcher et al., 2012</w:t>
        </w:r>
      </w:hyperlink>
      <w:r>
        <w:t xml:space="preserve">)</w:t>
      </w:r>
      <w:r>
        <w:t xml:space="preserve">. This issue is rarely discussed in material science oriented experiments but should raise a critical concern in experimental archaeology as social science. Randomized Controlled Trials (RCT)</w:t>
      </w:r>
      <w:r>
        <w:t xml:space="preserve"> </w:t>
      </w:r>
      <w:r>
        <w:rPr>
          <w:iCs/>
          <w:i/>
        </w:rPr>
        <w:t xml:space="preserve">sensu stricto</w:t>
      </w:r>
      <w:r>
        <w:t xml:space="preserve"> </w:t>
      </w:r>
      <w:r>
        <w:t xml:space="preserve">as practiced in contemporary medicine and behavioral sciences, known for its high cost</w:t>
      </w:r>
      <w:r>
        <w:t xml:space="preserve"> </w:t>
      </w:r>
      <w:r>
        <w:t xml:space="preserve">(e.g.,</w:t>
      </w:r>
      <w:r>
        <w:t xml:space="preserve"> </w:t>
      </w:r>
      <w:hyperlink w:anchor="ref-speich2019">
        <w:r>
          <w:rPr>
            <w:rStyle w:val="Hyperlink"/>
          </w:rPr>
          <w:t xml:space="preserve">Speich et al., 2019</w:t>
        </w:r>
      </w:hyperlink>
      <w:r>
        <w:t xml:space="preserve">)</w:t>
      </w:r>
      <w:r>
        <w:t xml:space="preserve">, are extremely rare in experimental archaeology when human participants were involved. Rather, most of our knowledge regarding the past is derived from data sets that can be characterized as Small, Unbalanced, Noisy, but Genuine (SUNG)</w:t>
      </w:r>
      <w:r>
        <w:t xml:space="preserve"> </w:t>
      </w:r>
      <w:r>
        <w:t xml:space="preserve">(</w:t>
      </w:r>
      <w:hyperlink w:anchor="ref-arnaud2023">
        <w:r>
          <w:rPr>
            <w:rStyle w:val="Hyperlink"/>
          </w:rPr>
          <w:t xml:space="preserve">Arnaud et al., 2023</w:t>
        </w:r>
      </w:hyperlink>
      <w:r>
        <w:t xml:space="preserve">)</w:t>
      </w:r>
      <w:r>
        <w:t xml:space="preserve"> </w:t>
      </w:r>
      <w:r>
        <w:t xml:space="preserve">produced through experiments featuring small-sized convenience sample. It has also been a debatable issue whether Randomized Controlled Trial (RCT) represents the gold standard of knowledge in the realm of philosophy of science</w:t>
      </w:r>
      <w:r>
        <w:t xml:space="preserve"> </w:t>
      </w:r>
      <w:r>
        <w:t xml:space="preserve">(</w:t>
      </w:r>
      <w:hyperlink w:anchor="ref-cartwright2007">
        <w:r>
          <w:rPr>
            <w:rStyle w:val="Hyperlink"/>
          </w:rPr>
          <w:t xml:space="preserve">Cartwright, 2007</w:t>
        </w:r>
      </w:hyperlink>
      <w:r>
        <w:t xml:space="preserve">)</w:t>
      </w:r>
      <w:r>
        <w:t xml:space="preserve">.</w:t>
      </w:r>
    </w:p>
    <w:p>
      <w:pPr>
        <w:pStyle w:val="BodyText"/>
      </w:pPr>
      <w:r>
        <w:t xml:space="preserve">On the other hand, actualistic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Interestingly, researchers in cognitive psychology and neuroscience, a field known for its development of rigorous and well-controlled experimental methods, have started to use naturalistic stimuli more frequently and advocate a paradigm shift to semi-controlled experiment</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Unlike controlled experiments, variability could be easily observed in actualistic experiments by design. This feature is crucial and cannot be simply replaced by ethnographic records, because many paleolithic technological components are not displayed in contemporary non-industrial societies, which usually feature technological systems with groundstone artifacts as the target products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Furthermore, statistical techniques for developing causal inference from observational data, which essentially represent the nature of results from actualistic experiments, have also been greatly boosted in epdedimiology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w:t>
      </w:r>
      <w:hyperlink w:anchor="ref-nichols2007">
        <w:r>
          <w:rPr>
            <w:rStyle w:val="Hyperlink"/>
          </w:rPr>
          <w:t xml:space="preserve">Nichols, 2007</w:t>
        </w:r>
      </w:hyperlink>
      <w:r>
        <w:t xml:space="preserve">)</w:t>
      </w:r>
      <w:r>
        <w:t xml:space="preserve">. Lastly, actualistic experiment can serve as a heuristic for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t>
      </w:r>
      <w:r>
        <w:t xml:space="preserve">and the argument put forth by Ingersoll and MacDonald</w:t>
      </w:r>
      <w:r>
        <w:t xml:space="preserve"> </w:t>
      </w:r>
      <w:r>
        <w:t xml:space="preserve">(</w:t>
      </w:r>
      <w:hyperlink w:anchor="ref-ingersoll1977">
        <w:r>
          <w:rPr>
            <w:rStyle w:val="Hyperlink"/>
          </w:rPr>
          <w:t xml:space="preserve">1977</w:t>
        </w:r>
      </w:hyperlink>
      <w:r>
        <w:t xml:space="preserve">)</w:t>
      </w:r>
      <w:r>
        <w:t xml:space="preserve">, who proposed that the interaction between actualistic and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1999">
        <w:r>
          <w:rPr>
            <w:rStyle w:val="Hyperlink"/>
          </w:rPr>
          <w:t xml:space="preserve">John C. Whittaker &amp; Stafford, 1999</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The curse of knowledge refers to the phenomenon that it is extremely challenging for experts to ignore the information that is held by them but not others, particularly novices</w:t>
      </w:r>
      <w:r>
        <w:t xml:space="preserve"> </w:t>
      </w:r>
      <w:r>
        <w:t xml:space="preserve">(</w:t>
      </w:r>
      <w:hyperlink w:anchor="ref-camerer1989">
        <w:r>
          <w:rPr>
            <w:rStyle w:val="Hyperlink"/>
          </w:rPr>
          <w:t xml:space="preserve">Camerer et al., 1989</w:t>
        </w:r>
      </w:hyperlink>
      <w:r>
        <w:t xml:space="preserve">;</w:t>
      </w:r>
      <w:r>
        <w:t xml:space="preserve"> </w:t>
      </w:r>
      <w:hyperlink w:anchor="ref-hinds1999">
        <w:r>
          <w:rPr>
            <w:rStyle w:val="Hyperlink"/>
          </w:rPr>
          <w:t xml:space="preserve">Hinds, 1999</w:t>
        </w:r>
      </w:hyperlink>
      <w:r>
        <w:t xml:space="preserve">)</w:t>
      </w:r>
      <w:r>
        <w:t xml:space="preserve">.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experiences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huge range of technological diversity.</w:t>
      </w:r>
    </w:p>
    <w:p>
      <w:pPr>
        <w:pStyle w:val="BodyText"/>
      </w:pPr>
      <w:r>
        <w:t xml:space="preserve">Modern flintknapping techniques, as a research subject and a scientific method, originated from hobbyists’ individualistic trials of reverse engineering during the 19th century, rather than from the inter-generational transmission of knapping knowledge spanning millions of years. This historical context is well elucidated by studies on the subject</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reevesflores2010">
        <w:r>
          <w:rPr>
            <w:rStyle w:val="Hyperlink"/>
          </w:rPr>
          <w:t xml:space="preserve">Reeves Flores, 2010</w:t>
        </w:r>
      </w:hyperlink>
      <w:r>
        <w:t xml:space="preserve">;</w:t>
      </w:r>
      <w:r>
        <w:t xml:space="preserve"> </w:t>
      </w:r>
      <w:hyperlink w:anchor="ref-whittaker1994">
        <w:r>
          <w:rPr>
            <w:rStyle w:val="Hyperlink"/>
          </w:rPr>
          <w:t xml:space="preserve">John C. Whittaker, 1994</w:t>
        </w:r>
      </w:hyperlink>
      <w:r>
        <w:t xml:space="preserve">: 54-61)</w:t>
      </w:r>
      <w:r>
        <w:t xml:space="preserve">.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famous 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variability at its core, the Triple P conceptual framework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2">
        <w:r>
          <w:rPr>
            <w:rStyle w:val="Hyperlink"/>
          </w:rPr>
          <w:t xml:space="preserve">Timbrell, 2022</w:t>
        </w:r>
      </w:hyperlink>
      <w:r>
        <w:t xml:space="preserve">)</w:t>
      </w:r>
      <w:r>
        <w:t xml:space="preserve"> </w:t>
      </w:r>
      <w:r>
        <w:t xml:space="preserve">of stone artifacts. The Triple P framework recognizes that experimental archaeology can greatly benefit from diverse perspectives and contributions from multiple stakeholders. By engaging researchers, practitioners, and local communities from different geographical locations, the framework acknowledges the importance of including voices from various cultural backgrounds and contexts</w:t>
      </w:r>
      <w:r>
        <w:t xml:space="preserve"> </w:t>
      </w:r>
      <w:r>
        <w:t xml:space="preserve">(</w:t>
      </w:r>
      <w:hyperlink w:anchor="ref-pargeter2023">
        <w:r>
          <w:rPr>
            <w:rStyle w:val="Hyperlink"/>
          </w:rPr>
          <w:t xml:space="preserve">Pargeter et al., 2023</w:t>
        </w:r>
      </w:hyperlink>
      <w:r>
        <w:t xml:space="preserve">: 164)</w:t>
      </w:r>
      <w:r>
        <w:t xml:space="preserve">. This emphasis on collaboration and inclusivity allows for a more nuanced understanding of the complexities of raw material procurement</w:t>
      </w:r>
      <w:r>
        <w:t xml:space="preserve"> </w:t>
      </w:r>
      <w:r>
        <w:t xml:space="preserve">(</w:t>
      </w:r>
      <w:hyperlink w:anchor="ref-batalla2016">
        <w:r>
          <w:rPr>
            <w:rStyle w:val="Hyperlink"/>
          </w:rPr>
          <w:t xml:space="preserve">Batalla, 2016</w:t>
        </w:r>
      </w:hyperlink>
      <w:r>
        <w:t xml:space="preserve">)</w:t>
      </w:r>
      <w:r>
        <w:t xml:space="preserve">,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r>
        <w:t xml:space="preserve">across different regions. Furthermore, the Triple P framework promotes the recognition and value of local knowledge and expertise. It acknowledges that communities living in specific geographical areas possess unique insights and understanding of their cultural heritage. By involving these local communities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w:t>
      </w:r>
    </w:p>
    <w:p>
      <w:pPr>
        <w:pStyle w:val="BodyText"/>
      </w:pPr>
      <w:r>
        <w:t xml:space="preserve">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w:t>
      </w:r>
    </w:p>
    <w:bookmarkEnd w:id="24"/>
    <w:bookmarkStart w:id="35" w:name="the-triple-p-framework-in-action"/>
    <w:p>
      <w:pPr>
        <w:pStyle w:val="Heading1"/>
      </w:pPr>
      <w:r>
        <w:t xml:space="preserve">The Triple P framework in action</w:t>
      </w:r>
    </w:p>
    <w:p>
      <w:pPr>
        <w:pStyle w:val="FirstParagraph"/>
      </w:pPr>
      <w:r>
        <w:t xml:space="preserve">As implied in its name, 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that partially contributed to the discipline-wide paradigm shift in the 1980s</w:t>
      </w:r>
      <w:r>
        <w:t xml:space="preserve"> </w:t>
      </w:r>
      <w:r>
        <w:t xml:space="preserve">(</w:t>
      </w:r>
      <w:hyperlink w:anchor="ref-lake2014">
        <w:r>
          <w:rPr>
            <w:rStyle w:val="Hyperlink"/>
          </w:rPr>
          <w:t xml:space="preserve">Lake, 2014</w:t>
        </w:r>
      </w:hyperlink>
      <w:r>
        <w:t xml:space="preserve">: 264-265)</w:t>
      </w:r>
      <w:r>
        <w:t xml:space="preserv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intentions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w:t>
      </w:r>
      <w:r>
        <w:t xml:space="preserve"> </w:t>
      </w:r>
      <w:r>
        <w:t xml:space="preserve">(</w:t>
      </w:r>
      <w:hyperlink w:anchor="ref-reynolds1999">
        <w:r>
          <w:rPr>
            <w:rStyle w:val="Hyperlink"/>
          </w:rPr>
          <w:t xml:space="preserve">Reynolds, 1999</w:t>
        </w:r>
      </w:hyperlink>
      <w:r>
        <w:t xml:space="preserve">;</w:t>
      </w:r>
      <w:r>
        <w:t xml:space="preserve"> </w:t>
      </w:r>
      <w:hyperlink w:anchor="ref-stout2023">
        <w:r>
          <w:rPr>
            <w:rStyle w:val="Hyperlink"/>
          </w:rPr>
          <w:t xml:space="preserve">Stout &amp; Hecht, 2023</w:t>
        </w:r>
      </w:hyperlink>
      <w:r>
        <w:t xml:space="preserve">)</w:t>
      </w:r>
      <w:r>
        <w:t xml:space="preserve">. The importance of specifying and documenting the context information of both the experiment as well as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4337"/>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4337"/>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or photos and illustrations, or high-resolution 3D scans of individual artifact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should be always available in the relevant meta-data. Besides, adopting good habits in spreadsheet data organization is strongly recommended</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formal ethological methods that are widely used in the description and analysis of non-human animal behavior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fall into oblivion among archaeologists, the attempts of reconstructing behavioral sequences involved in the manufacture of material remains are not infrequent. One such example is cognigram, which was first systematically developed and applied in the archaeological research by Haidle</w:t>
      </w:r>
      <w:r>
        <w:t xml:space="preserve"> </w:t>
      </w:r>
      <w:r>
        <w:t xml:space="preserve">(</w:t>
      </w:r>
      <w:hyperlink w:anchor="ref-haidleHowThinkSimple2009">
        <w:r>
          <w:rPr>
            <w:rStyle w:val="Hyperlink"/>
          </w:rPr>
          <w:t xml:space="preserve">Miriam N. Haidle, 2009</w:t>
        </w:r>
      </w:hyperlink>
      <w:r>
        <w:t xml:space="preserve">,</w:t>
      </w:r>
      <w:r>
        <w:t xml:space="preserve"> </w:t>
      </w:r>
      <w:hyperlink w:anchor="ref-haidle2010">
        <w:r>
          <w:rPr>
            <w:rStyle w:val="Hyperlink"/>
          </w:rPr>
          <w:t xml:space="preserve">2010</w:t>
        </w:r>
      </w:hyperlink>
      <w:r>
        <w:t xml:space="preserve">;</w:t>
      </w:r>
      <w:r>
        <w:t xml:space="preserve"> </w:t>
      </w:r>
      <w:hyperlink w:anchor="ref-haidle2023">
        <w:r>
          <w:rPr>
            <w:rStyle w:val="Hyperlink"/>
          </w:rPr>
          <w:t xml:space="preserve">Miriam Noël Haidle, 2023</w:t>
        </w:r>
      </w:hyperlink>
      <w:r>
        <w:t xml:space="preserve">;</w:t>
      </w:r>
      <w:r>
        <w:t xml:space="preserve"> </w:t>
      </w:r>
      <w:hyperlink w:anchor="ref-lombard2012">
        <w:r>
          <w:rPr>
            <w:rStyle w:val="Hyperlink"/>
          </w:rPr>
          <w:t xml:space="preserve">Lombard &amp; Haidle, 2012</w:t>
        </w:r>
      </w:hyperlink>
      <w:r>
        <w:t xml:space="preserve">)</w:t>
      </w:r>
      <w:r>
        <w:t xml:space="preserve">. Cognigram essentially represents an abstracting process of a series of action sequences achieving a similar goal. This approach is a powerful and elegant yet limited by the curse of expertise</w:t>
      </w:r>
      <w:r>
        <w:t xml:space="preserve"> </w:t>
      </w:r>
      <w:r>
        <w:t xml:space="preserve">(</w:t>
      </w:r>
      <w:hyperlink w:anchor="ref-hinds1999">
        <w:r>
          <w:rPr>
            <w:rStyle w:val="Hyperlink"/>
          </w:rPr>
          <w:t xml:space="preserve">Hinds, 1999</w:t>
        </w:r>
      </w:hyperlink>
      <w:r>
        <w:t xml:space="preserve">)</w:t>
      </w:r>
      <w:r>
        <w:t xml:space="preserve">, meaning it cannot handle variability very well. To some extent, it describes the minimal steps to achieve a goal from the perspective of reverse engineering and assumes clear causal thinking between each step in an idealistic manner. However, this may be biased given that 1) experiments and modeling studies in cognitive science have shown that novices often feature a low planning depth</w:t>
      </w:r>
      <w:r>
        <w:t xml:space="preserve"> </w:t>
      </w:r>
      <w:r>
        <w:t xml:space="preserve">(</w:t>
      </w:r>
      <w:hyperlink w:anchor="ref-vanopheusden2023">
        <w:r>
          <w:rPr>
            <w:rStyle w:val="Hyperlink"/>
          </w:rPr>
          <w:t xml:space="preserve">Opheusden et al., 2023</w:t>
        </w:r>
      </w:hyperlink>
      <w:r>
        <w:t xml:space="preserve">)</w:t>
      </w:r>
      <w:r>
        <w:t xml:space="preserve"> </w:t>
      </w:r>
      <w:r>
        <w:t xml:space="preserve">and 2) ethnographic studies demonstrated that even expert practitioners in traditional societies can have a different set of perception on the causal structure of how certain behaviors will modify the raw materials</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amount videos of toolmaking and conducting systematical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or degrees of coding complexity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Bruce Bradley’s handaxe knapping session using the action grammer and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Bruce Bradley’s handaxe knapping session using the action grammer and BORIS software.</w:t>
      </w:r>
    </w:p>
    <w:p>
      <w:pPr>
        <w:pStyle w:val="TableCaption"/>
      </w:pPr>
      <w:r>
        <w:t xml:space="preserve">A modiefied version of the original action grammer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efied version of the original action grammer presented in (Stout et al., 2021)"/>
      </w:tblPr>
      <w:tblGrid>
        <w:gridCol w:w="841"/>
        <w:gridCol w:w="7078"/>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Often occurs during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w:t>
            </w:r>
          </w:p>
        </w:tc>
      </w:tr>
      <w:tr>
        <w:tc>
          <w:tcPr/>
          <w:p>
            <w:pPr>
              <w:pStyle w:val="Compact"/>
              <w:jc w:val="left"/>
            </w:pPr>
            <w:r>
              <w:t xml:space="preserve">Tool Change</w:t>
            </w:r>
          </w:p>
        </w:tc>
        <w:tc>
          <w:tcPr/>
          <w:p>
            <w:pPr>
              <w:pStyle w:val="Compact"/>
              <w:jc w:val="left"/>
            </w:pPr>
            <w:r>
              <w:t xml:space="preserve">Exchange of one percussor for another</w:t>
            </w:r>
          </w:p>
        </w:tc>
      </w:tr>
    </w:tbl>
    <w:bookmarkEnd w:id="32"/>
    <w:bookmarkStart w:id="33" w:name="perception-level-data"/>
    <w:p>
      <w:pPr>
        <w:pStyle w:val="Heading2"/>
      </w:pPr>
      <w:r>
        <w:t xml:space="preserve">Perception-level data</w:t>
      </w:r>
    </w:p>
    <w:p>
      <w:pPr>
        <w:pStyle w:val="FirstParagraph"/>
      </w:pPr>
      <w:r>
        <w:t xml:space="preserve">Ethnographies revolving around general archaeological practices</w:t>
      </w:r>
      <w:r>
        <w:t xml:space="preserve"> </w:t>
      </w:r>
      <w:r>
        <w:t xml:space="preserve">(</w:t>
      </w:r>
      <w:hyperlink w:anchor="ref-ethnogra2006">
        <w:r>
          <w:rPr>
            <w:rStyle w:val="Hyperlink"/>
          </w:rPr>
          <w:t xml:space="preserve">Edgeworth, 2006</w:t>
        </w:r>
      </w:hyperlink>
      <w:r>
        <w:t xml:space="preserve">)</w:t>
      </w:r>
      <w:r>
        <w:t xml:space="preserve">,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both WEIRD</w:t>
      </w:r>
      <w:r>
        <w:t xml:space="preserve"> </w:t>
      </w:r>
      <w:r>
        <w:t xml:space="preserve">(</w:t>
      </w:r>
      <w:hyperlink w:anchor="ref-whittaker2004">
        <w:r>
          <w:rPr>
            <w:rStyle w:val="Hyperlink"/>
          </w:rPr>
          <w:t xml:space="preserve">John, C. Whittaker, 2004</w:t>
        </w:r>
      </w:hyperlink>
      <w:r>
        <w:t xml:space="preserve">)</w:t>
      </w:r>
      <w:r>
        <w:t xml:space="preserve"> </w:t>
      </w:r>
      <w:r>
        <w:t xml:space="preserve">and non-WEIRD populations</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it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ethnographers can capture the subtle nuances of perception, such as sensory experiences, social interactions, and cultural meanings associated with the experimental activities.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variability data require the building of centralized, open-access, and carefully curated data infrastructure</w:t>
      </w:r>
      <w:r>
        <w:t xml:space="preserve"> </w:t>
      </w:r>
      <w:r>
        <w:t xml:space="preserve">(</w:t>
      </w:r>
      <w:hyperlink w:anchor="ref-marwick2017">
        <w:r>
          <w:rPr>
            <w:rStyle w:val="Hyperlink"/>
          </w:rPr>
          <w:t xml:space="preserve">Marwick et al., 2017</w:t>
        </w:r>
      </w:hyperlink>
      <w:r>
        <w:t xml:space="preserve">)</w:t>
      </w:r>
      <w:r>
        <w:t xml:space="preserve">, which unfortunately still does not exist yet in experimental archaeology and likely won’t be available in the near future. Among the three dimensions of the Tripe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that was originally designed for developmental scientists, as the main data curation platform, where researchers can freely upload video files and related metadata that can connect with different types of data within the same project.</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variability. It is also compatible with many theoretical orientations, ranging from behavioral archaeology (emphasis on video recording of behavioral processes) through evolutionary archaeology (emphasis on the amplification of variability)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would like to thank Dietrich Stout for his helpful comments on earlier drafts of this article. I am also grateful for my collaborators who help me turn this idea into reality: Russell Cutts (Oxford College of Emory University), Nada Khreisheh (The Ancient Technology Centre), Justin Pargeter (New York University), Ron Shimelmitz (University of Haifa), and particularly Mark Moore (University of New England). This study was supported by a research grant from the Leakey Foundation titled</w:t>
      </w:r>
      <w:r>
        <w:t xml:space="preserve"> </w:t>
      </w:r>
      <w:r>
        <w:t xml:space="preserve">“</w:t>
      </w:r>
      <w:r>
        <w:t xml:space="preserve">Inferring skill reproduction from stone artifacts: A middle‐range approach.</w:t>
      </w:r>
      <w:r>
        <w:t xml:space="preserve">”</w:t>
      </w:r>
    </w:p>
    <w:bookmarkEnd w:id="37"/>
    <w:bookmarkStart w:id="191" w:name="references"/>
    <w:p>
      <w:pPr>
        <w:pStyle w:val="Heading1"/>
      </w:pPr>
      <w:r>
        <w:t xml:space="preserve">References</w:t>
      </w:r>
    </w:p>
    <w:bookmarkStart w:id="190" w:name="refs"/>
    <w:bookmarkStart w:id="39" w:name="ref-armstrong2018"/>
    <w:p>
      <w:pPr>
        <w:pStyle w:val="Bibliography"/>
      </w:pPr>
      <w:r>
        <w:t xml:space="preserve">Armstrong, S., &amp; Mindermann, S. (2018).</w:t>
      </w:r>
      <w:r>
        <w:t xml:space="preserve"> </w:t>
      </w:r>
      <w:r>
        <w:rPr>
          <w:iCs/>
          <w:i/>
        </w:rPr>
        <w:t xml:space="preserve">Occam’ s razor is insufficient to infer the preferences of irrational agents</w:t>
      </w:r>
      <w:r>
        <w:t xml:space="preserve">.</w:t>
      </w:r>
      <w:r>
        <w:t xml:space="preserve"> </w:t>
      </w:r>
      <w:r>
        <w:rPr>
          <w:iCs/>
          <w:i/>
        </w:rPr>
        <w:t xml:space="preserve">31</w:t>
      </w:r>
      <w:r>
        <w:t xml:space="preserve">.</w:t>
      </w:r>
      <w:r>
        <w:t xml:space="preserve"> </w:t>
      </w:r>
      <w:hyperlink r:id="rId38">
        <w:r>
          <w:rPr>
            <w:rStyle w:val="Hyperlink"/>
          </w:rPr>
          <w:t xml:space="preserve">https://proceedings.neurips.cc/paper/2018/hash/d89a66c7c80a29b1bdbab0f2a1a94af8-Abstract.html</w:t>
        </w:r>
      </w:hyperlink>
    </w:p>
    <w:bookmarkEnd w:id="39"/>
    <w:bookmarkStart w:id="41" w:name="ref-arnaud2023"/>
    <w:p>
      <w:pPr>
        <w:pStyle w:val="Bibliography"/>
      </w:pPr>
      <w:r>
        <w:t xml:space="preserve">Arnaud, V., Pellegrino, F., Keenan, S., St-Gelais, X., Mathevon, N., Levréro, F., &amp; Coupé, C. (2023). Improving the workflow to crack Small, Unbalanced, Noisy, but Genuine (SUNG) datasets in bioacoustics: The case of bonobo calls.</w:t>
      </w:r>
      <w:r>
        <w:t xml:space="preserve"> </w:t>
      </w:r>
      <w:r>
        <w:rPr>
          <w:iCs/>
          <w:i/>
        </w:rPr>
        <w:t xml:space="preserve">PLOS Computational Biology</w:t>
      </w:r>
      <w:r>
        <w:t xml:space="preserve">,</w:t>
      </w:r>
      <w:r>
        <w:t xml:space="preserve"> </w:t>
      </w:r>
      <w:r>
        <w:rPr>
          <w:iCs/>
          <w:i/>
        </w:rPr>
        <w:t xml:space="preserve">19</w:t>
      </w:r>
      <w:r>
        <w:t xml:space="preserve">(4), e1010325.</w:t>
      </w:r>
      <w:r>
        <w:t xml:space="preserve"> </w:t>
      </w:r>
      <w:hyperlink r:id="rId40">
        <w:r>
          <w:rPr>
            <w:rStyle w:val="Hyperlink"/>
          </w:rPr>
          <w:t xml:space="preserve">https://doi.org/10.1371/journal.pcbi.1010325</w:t>
        </w:r>
      </w:hyperlink>
    </w:p>
    <w:bookmarkEnd w:id="41"/>
    <w:bookmarkStart w:id="42"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42"/>
    <w:bookmarkStart w:id="44"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3">
        <w:r>
          <w:rPr>
            <w:rStyle w:val="Hyperlink"/>
          </w:rPr>
          <w:t xml:space="preserve">https://doi.org/10.1017/S0959774320000347</w:t>
        </w:r>
      </w:hyperlink>
    </w:p>
    <w:bookmarkEnd w:id="44"/>
    <w:bookmarkStart w:id="46"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5">
        <w:r>
          <w:rPr>
            <w:rStyle w:val="Hyperlink"/>
          </w:rPr>
          <w:t xml:space="preserve">https://doi.org/10.2218/jls.v3i1.1522</w:t>
        </w:r>
      </w:hyperlink>
    </w:p>
    <w:bookmarkEnd w:id="46"/>
    <w:bookmarkStart w:id="48"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47">
        <w:r>
          <w:rPr>
            <w:rStyle w:val="Hyperlink"/>
          </w:rPr>
          <w:t xml:space="preserve">https://doi.org/10.1080/00031305.2017.1375989</w:t>
        </w:r>
      </w:hyperlink>
    </w:p>
    <w:bookmarkEnd w:id="48"/>
    <w:bookmarkStart w:id="50" w:name="ref-camerer1989"/>
    <w:p>
      <w:pPr>
        <w:pStyle w:val="Bibliography"/>
      </w:pPr>
      <w:r>
        <w:t xml:space="preserve">Camerer, C., Loewenstein, G., &amp; Weber, M. (1989). The curse of knowledge in economic settings: An experimental analysis.</w:t>
      </w:r>
      <w:r>
        <w:t xml:space="preserve"> </w:t>
      </w:r>
      <w:r>
        <w:rPr>
          <w:iCs/>
          <w:i/>
        </w:rPr>
        <w:t xml:space="preserve">Journal of Political Economy</w:t>
      </w:r>
      <w:r>
        <w:t xml:space="preserve">,</w:t>
      </w:r>
      <w:r>
        <w:t xml:space="preserve"> </w:t>
      </w:r>
      <w:r>
        <w:rPr>
          <w:iCs/>
          <w:i/>
        </w:rPr>
        <w:t xml:space="preserve">97</w:t>
      </w:r>
      <w:r>
        <w:t xml:space="preserve">(5), 1232–1254.</w:t>
      </w:r>
      <w:r>
        <w:t xml:space="preserve"> </w:t>
      </w:r>
      <w:hyperlink r:id="rId49">
        <w:r>
          <w:rPr>
            <w:rStyle w:val="Hyperlink"/>
          </w:rPr>
          <w:t xml:space="preserve">https://doi.org/10.1086/261651</w:t>
        </w:r>
      </w:hyperlink>
    </w:p>
    <w:bookmarkEnd w:id="50"/>
    <w:bookmarkStart w:id="52"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51">
        <w:r>
          <w:rPr>
            <w:rStyle w:val="Hyperlink"/>
          </w:rPr>
          <w:t xml:space="preserve">https://doi.org/10.5334/dsj-2020-043</w:t>
        </w:r>
      </w:hyperlink>
    </w:p>
    <w:bookmarkEnd w:id="52"/>
    <w:bookmarkStart w:id="54" w:name="ref-cartwright2007"/>
    <w:p>
      <w:pPr>
        <w:pStyle w:val="Bibliography"/>
      </w:pPr>
      <w:r>
        <w:t xml:space="preserve">Cartwright, N. (2007). Are RCTs the Gold Standard?</w:t>
      </w:r>
      <w:r>
        <w:t xml:space="preserve"> </w:t>
      </w:r>
      <w:r>
        <w:rPr>
          <w:iCs/>
          <w:i/>
        </w:rPr>
        <w:t xml:space="preserve">BioSocieties</w:t>
      </w:r>
      <w:r>
        <w:t xml:space="preserve">,</w:t>
      </w:r>
      <w:r>
        <w:t xml:space="preserve"> </w:t>
      </w:r>
      <w:r>
        <w:rPr>
          <w:iCs/>
          <w:i/>
        </w:rPr>
        <w:t xml:space="preserve">2</w:t>
      </w:r>
      <w:r>
        <w:t xml:space="preserve">(1), 11–20.</w:t>
      </w:r>
      <w:r>
        <w:t xml:space="preserve"> </w:t>
      </w:r>
      <w:hyperlink r:id="rId53">
        <w:r>
          <w:rPr>
            <w:rStyle w:val="Hyperlink"/>
          </w:rPr>
          <w:t xml:space="preserve">https://doi.org/10.1017/S1745855207005029</w:t>
        </w:r>
      </w:hyperlink>
    </w:p>
    <w:bookmarkEnd w:id="54"/>
    <w:bookmarkStart w:id="55" w:name="ref-coles1979"/>
    <w:p>
      <w:pPr>
        <w:pStyle w:val="Bibliography"/>
      </w:pPr>
      <w:r>
        <w:t xml:space="preserve">Coles, J. M. (1979).</w:t>
      </w:r>
      <w:r>
        <w:t xml:space="preserve"> </w:t>
      </w:r>
      <w:r>
        <w:rPr>
          <w:iCs/>
          <w:i/>
        </w:rPr>
        <w:t xml:space="preserve">Experimental archaeology</w:t>
      </w:r>
      <w:r>
        <w:t xml:space="preserve">. Academic Press.</w:t>
      </w:r>
    </w:p>
    <w:bookmarkEnd w:id="55"/>
    <w:bookmarkStart w:id="56"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6"/>
    <w:bookmarkStart w:id="58"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57">
        <w:r>
          <w:rPr>
            <w:rStyle w:val="Hyperlink"/>
          </w:rPr>
          <w:t xml:space="preserve">https://doi.org/10.1080/01977261.2019.1587255</w:t>
        </w:r>
      </w:hyperlink>
    </w:p>
    <w:bookmarkEnd w:id="58"/>
    <w:bookmarkStart w:id="60"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59">
        <w:r>
          <w:rPr>
            <w:rStyle w:val="Hyperlink"/>
          </w:rPr>
          <w:t xml:space="preserve">https://doi.org/10.2307/j.ctv1c29t27</w:t>
        </w:r>
      </w:hyperlink>
    </w:p>
    <w:bookmarkEnd w:id="60"/>
    <w:bookmarkStart w:id="62"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61">
        <w:r>
          <w:rPr>
            <w:rStyle w:val="Hyperlink"/>
          </w:rPr>
          <w:t xml:space="preserve">https://doi.org/10.1080/00438240701843629</w:t>
        </w:r>
      </w:hyperlink>
    </w:p>
    <w:bookmarkEnd w:id="62"/>
    <w:bookmarkStart w:id="64"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63">
        <w:r>
          <w:rPr>
            <w:rStyle w:val="Hyperlink"/>
          </w:rPr>
          <w:t xml:space="preserve">https://doi.org/10.1007/s10437-020-09404-8</w:t>
        </w:r>
      </w:hyperlink>
    </w:p>
    <w:bookmarkEnd w:id="64"/>
    <w:bookmarkStart w:id="65" w:name="ref-ethnogra2006"/>
    <w:p>
      <w:pPr>
        <w:pStyle w:val="Bibliography"/>
      </w:pPr>
      <w:r>
        <w:t xml:space="preserve">Edgeworth, M. (Ed.). (2006).</w:t>
      </w:r>
      <w:r>
        <w:t xml:space="preserve"> </w:t>
      </w:r>
      <w:r>
        <w:rPr>
          <w:iCs/>
          <w:i/>
        </w:rPr>
        <w:t xml:space="preserve">Ethnographies of archaeological practice: Cultural encounters, material transformations</w:t>
      </w:r>
      <w:r>
        <w:t xml:space="preserve">. AltaMira Press.</w:t>
      </w:r>
    </w:p>
    <w:bookmarkEnd w:id="65"/>
    <w:bookmarkStart w:id="67"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66">
        <w:r>
          <w:rPr>
            <w:rStyle w:val="Hyperlink"/>
          </w:rPr>
          <w:t xml:space="preserve">https://doi.org/10.1080/19442890.2016.1213972</w:t>
        </w:r>
      </w:hyperlink>
    </w:p>
    <w:bookmarkEnd w:id="67"/>
    <w:bookmarkStart w:id="69"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68">
        <w:r>
          <w:rPr>
            <w:rStyle w:val="Hyperlink"/>
          </w:rPr>
          <w:t xml:space="preserve">https://doi.org/10.1146/annurev.an.13.100184.001155</w:t>
        </w:r>
      </w:hyperlink>
    </w:p>
    <w:bookmarkEnd w:id="69"/>
    <w:bookmarkStart w:id="71" w:name="ref-fletcher2012"/>
    <w:p>
      <w:pPr>
        <w:pStyle w:val="Bibliography"/>
      </w:pPr>
      <w:r>
        <w:t xml:space="preserve">Fletcher, B., Gheorghe, A., Moore, D., Wilson, S., &amp; Damery, S. (2012). Improving the recruitment activity of clinicians in randomised controlled trials: a systematic review.</w:t>
      </w:r>
      <w:r>
        <w:t xml:space="preserve"> </w:t>
      </w:r>
      <w:r>
        <w:rPr>
          <w:iCs/>
          <w:i/>
        </w:rPr>
        <w:t xml:space="preserve">BMJ Open</w:t>
      </w:r>
      <w:r>
        <w:t xml:space="preserve">,</w:t>
      </w:r>
      <w:r>
        <w:t xml:space="preserve"> </w:t>
      </w:r>
      <w:r>
        <w:rPr>
          <w:iCs/>
          <w:i/>
        </w:rPr>
        <w:t xml:space="preserve">2</w:t>
      </w:r>
      <w:r>
        <w:t xml:space="preserve">(1), e000496.</w:t>
      </w:r>
      <w:r>
        <w:t xml:space="preserve"> </w:t>
      </w:r>
      <w:hyperlink r:id="rId70">
        <w:r>
          <w:rPr>
            <w:rStyle w:val="Hyperlink"/>
          </w:rPr>
          <w:t xml:space="preserve">https://doi.org/10.1136/bmjopen-2011-000496</w:t>
        </w:r>
      </w:hyperlink>
    </w:p>
    <w:bookmarkEnd w:id="71"/>
    <w:bookmarkStart w:id="73"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72">
        <w:r>
          <w:rPr>
            <w:rStyle w:val="Hyperlink"/>
          </w:rPr>
          <w:t xml:space="preserve">https://doi.org/10.1016/bs.asb.2018.01.001</w:t>
        </w:r>
      </w:hyperlink>
    </w:p>
    <w:bookmarkEnd w:id="73"/>
    <w:bookmarkStart w:id="75"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74">
        <w:r>
          <w:rPr>
            <w:rStyle w:val="Hyperlink"/>
          </w:rPr>
          <w:t xml:space="preserve">https://doi.org/10.1111/2041-210X.12584</w:t>
        </w:r>
      </w:hyperlink>
    </w:p>
    <w:bookmarkEnd w:id="75"/>
    <w:bookmarkStart w:id="77"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76">
        <w:r>
          <w:rPr>
            <w:rStyle w:val="Hyperlink"/>
          </w:rPr>
          <w:t xml:space="preserve">https://doi.org/10.1167/15.12.280</w:t>
        </w:r>
      </w:hyperlink>
    </w:p>
    <w:bookmarkEnd w:id="77"/>
    <w:bookmarkStart w:id="78"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78"/>
    <w:bookmarkStart w:id="79" w:name="ref-haidleHowThinkSimple2009"/>
    <w:p>
      <w:pPr>
        <w:pStyle w:val="Bibliography"/>
      </w:pPr>
      <w:r>
        <w:t xml:space="preserve">Haidle, Miriam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79"/>
    <w:bookmarkStart w:id="81" w:name="ref-haidle2010"/>
    <w:p>
      <w:pPr>
        <w:pStyle w:val="Bibliography"/>
      </w:pPr>
      <w:r>
        <w:t xml:space="preserve">Haidle, Miriam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80">
        <w:r>
          <w:rPr>
            <w:rStyle w:val="Hyperlink"/>
          </w:rPr>
          <w:t xml:space="preserve">https://doi.org/10.1086/650295</w:t>
        </w:r>
      </w:hyperlink>
    </w:p>
    <w:bookmarkEnd w:id="81"/>
    <w:bookmarkStart w:id="83" w:name="ref-haidle2023"/>
    <w:p>
      <w:pPr>
        <w:pStyle w:val="Bibliography"/>
      </w:pPr>
      <w:r>
        <w:t xml:space="preserve">Haidle, Miriam Noël.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82">
        <w:r>
          <w:rPr>
            <w:rStyle w:val="Hyperlink"/>
          </w:rPr>
          <w:t xml:space="preserve">https://doi.org/10.1093/oxfordhb/9780192895950.013.12</w:t>
        </w:r>
      </w:hyperlink>
    </w:p>
    <w:bookmarkEnd w:id="83"/>
    <w:bookmarkStart w:id="85"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84">
        <w:r>
          <w:rPr>
            <w:rStyle w:val="Hyperlink"/>
          </w:rPr>
          <w:t xml:space="preserve">https://doi.org/10.1016/j.cub.2021.01.096</w:t>
        </w:r>
      </w:hyperlink>
    </w:p>
    <w:bookmarkEnd w:id="85"/>
    <w:bookmarkStart w:id="87"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86">
        <w:r>
          <w:rPr>
            <w:rStyle w:val="Hyperlink"/>
          </w:rPr>
          <w:t xml:space="preserve">https://doi.org/10.1257/aer.91.2.73</w:t>
        </w:r>
      </w:hyperlink>
    </w:p>
    <w:bookmarkEnd w:id="87"/>
    <w:bookmarkStart w:id="88" w:name="ref-hernan2023"/>
    <w:p>
      <w:pPr>
        <w:pStyle w:val="Bibliography"/>
      </w:pPr>
      <w:r>
        <w:t xml:space="preserve">Hernan, M. A., &amp; Robins, J. M. (2023).</w:t>
      </w:r>
      <w:r>
        <w:t xml:space="preserve"> </w:t>
      </w:r>
      <w:r>
        <w:rPr>
          <w:iCs/>
          <w:i/>
        </w:rPr>
        <w:t xml:space="preserve">Causal inference: What if</w:t>
      </w:r>
      <w:r>
        <w:t xml:space="preserve">. CRC Press.</w:t>
      </w:r>
    </w:p>
    <w:bookmarkEnd w:id="88"/>
    <w:bookmarkStart w:id="90"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89">
        <w:r>
          <w:rPr>
            <w:rStyle w:val="Hyperlink"/>
          </w:rPr>
          <w:t xml:space="preserve">https://doi.org/10.1037/1076-898X.5.2.205</w:t>
        </w:r>
      </w:hyperlink>
    </w:p>
    <w:bookmarkEnd w:id="90"/>
    <w:bookmarkStart w:id="92"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91">
        <w:r>
          <w:rPr>
            <w:rStyle w:val="Hyperlink"/>
          </w:rPr>
          <w:t xml:space="preserve">https://doi.org/10.1017/S0959774304230050</w:t>
        </w:r>
      </w:hyperlink>
    </w:p>
    <w:bookmarkEnd w:id="92"/>
    <w:bookmarkStart w:id="93"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93"/>
    <w:bookmarkStart w:id="94" w:name="ref-ingersoll1977"/>
    <w:p>
      <w:pPr>
        <w:pStyle w:val="Bibliography"/>
      </w:pPr>
      <w:r>
        <w:t xml:space="preserve">Ingersoll, D., &amp; MacDonald, W. (1977).</w:t>
      </w:r>
      <w:r>
        <w:t xml:space="preserve"> </w:t>
      </w:r>
      <w:r>
        <w:rPr>
          <w:iCs/>
          <w:i/>
        </w:rPr>
        <w:t xml:space="preserve">Introduction</w:t>
      </w:r>
      <w:r>
        <w:t xml:space="preserve"> </w:t>
      </w:r>
      <w:r>
        <w:t xml:space="preserve">(D. Ingersoll, J. E. Yellen, &amp; W. MacDonald, Eds.; p. xixvii). Columbia University Press.</w:t>
      </w:r>
    </w:p>
    <w:bookmarkEnd w:id="94"/>
    <w:bookmarkStart w:id="96"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95">
        <w:r>
          <w:rPr>
            <w:rStyle w:val="Hyperlink"/>
          </w:rPr>
          <w:t xml:space="preserve">https://doi.org/10.1086/202078</w:t>
        </w:r>
      </w:hyperlink>
    </w:p>
    <w:bookmarkEnd w:id="96"/>
    <w:bookmarkStart w:id="98" w:name="ref-lake2014"/>
    <w:p>
      <w:pPr>
        <w:pStyle w:val="Bibliography"/>
      </w:pPr>
      <w:r>
        <w:t xml:space="preserve">Lake, M. W. (2014). Trends in Archaeological Simulation.</w:t>
      </w:r>
      <w:r>
        <w:t xml:space="preserve"> </w:t>
      </w:r>
      <w:r>
        <w:rPr>
          <w:iCs/>
          <w:i/>
        </w:rPr>
        <w:t xml:space="preserve">Journal of Archaeological Method and Theory</w:t>
      </w:r>
      <w:r>
        <w:t xml:space="preserve">,</w:t>
      </w:r>
      <w:r>
        <w:t xml:space="preserve"> </w:t>
      </w:r>
      <w:r>
        <w:rPr>
          <w:iCs/>
          <w:i/>
        </w:rPr>
        <w:t xml:space="preserve">21</w:t>
      </w:r>
      <w:r>
        <w:t xml:space="preserve">(2), 258–287.</w:t>
      </w:r>
      <w:r>
        <w:t xml:space="preserve"> </w:t>
      </w:r>
      <w:hyperlink r:id="rId97">
        <w:r>
          <w:rPr>
            <w:rStyle w:val="Hyperlink"/>
          </w:rPr>
          <w:t xml:space="preserve">https://doi.org/10.1007/s10816-013-9188-1</w:t>
        </w:r>
      </w:hyperlink>
    </w:p>
    <w:bookmarkEnd w:id="98"/>
    <w:bookmarkStart w:id="100"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99">
        <w:r>
          <w:rPr>
            <w:rStyle w:val="Hyperlink"/>
          </w:rPr>
          <w:t xml:space="preserve">https://doi.org/10.1007/s10816-022-09586-2</w:t>
        </w:r>
      </w:hyperlink>
    </w:p>
    <w:bookmarkEnd w:id="100"/>
    <w:bookmarkStart w:id="102"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101">
        <w:r>
          <w:rPr>
            <w:rStyle w:val="Hyperlink"/>
          </w:rPr>
          <w:t xml:space="preserve">https://doi.org/10.1007/s10816-017-9351-1</w:t>
        </w:r>
      </w:hyperlink>
    </w:p>
    <w:bookmarkEnd w:id="102"/>
    <w:bookmarkStart w:id="104"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103">
        <w:r>
          <w:rPr>
            <w:rStyle w:val="Hyperlink"/>
          </w:rPr>
          <w:t xml:space="preserve">https://doi.org/10.1016/j.jasrep.2023.103974</w:t>
        </w:r>
      </w:hyperlink>
    </w:p>
    <w:bookmarkEnd w:id="104"/>
    <w:bookmarkStart w:id="106"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105">
        <w:r>
          <w:rPr>
            <w:rStyle w:val="Hyperlink"/>
          </w:rPr>
          <w:t xml:space="preserve">https://doi.org/10.1002/evan.21964</w:t>
        </w:r>
      </w:hyperlink>
    </w:p>
    <w:bookmarkEnd w:id="106"/>
    <w:bookmarkStart w:id="108"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07">
        <w:r>
          <w:rPr>
            <w:rStyle w:val="Hyperlink"/>
          </w:rPr>
          <w:t xml:space="preserve">https://doi.org/10.1038/s41598-017-14322-y</w:t>
        </w:r>
      </w:hyperlink>
    </w:p>
    <w:bookmarkEnd w:id="108"/>
    <w:bookmarkStart w:id="110" w:name="ref-lombard2012"/>
    <w:p>
      <w:pPr>
        <w:pStyle w:val="Bibliography"/>
      </w:pPr>
      <w:r>
        <w:t xml:space="preserve">Lombard, M., &amp; Haidle, M. N. (2012). Thinking a Bow-and-arrow Set: Cognitive Implications of Middle Stone Age Bow and Stone-tipped Arrow Technology.</w:t>
      </w:r>
      <w:r>
        <w:t xml:space="preserve"> </w:t>
      </w:r>
      <w:r>
        <w:rPr>
          <w:iCs/>
          <w:i/>
        </w:rPr>
        <w:t xml:space="preserve">Cambridge Archaeological Journal</w:t>
      </w:r>
      <w:r>
        <w:t xml:space="preserve">,</w:t>
      </w:r>
      <w:r>
        <w:t xml:space="preserve"> </w:t>
      </w:r>
      <w:r>
        <w:rPr>
          <w:iCs/>
          <w:i/>
        </w:rPr>
        <w:t xml:space="preserve">22</w:t>
      </w:r>
      <w:r>
        <w:t xml:space="preserve">(2), 237–264.</w:t>
      </w:r>
      <w:r>
        <w:t xml:space="preserve"> </w:t>
      </w:r>
      <w:hyperlink r:id="rId109">
        <w:r>
          <w:rPr>
            <w:rStyle w:val="Hyperlink"/>
          </w:rPr>
          <w:t xml:space="preserve">https://doi.org/10.1017/S095977431200025X</w:t>
        </w:r>
      </w:hyperlink>
    </w:p>
    <w:bookmarkEnd w:id="110"/>
    <w:bookmarkStart w:id="112"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11">
        <w:r>
          <w:rPr>
            <w:rStyle w:val="Hyperlink"/>
          </w:rPr>
          <w:t xml:space="preserve">https://doi.org/10.4207/PA.2014.ART90</w:t>
        </w:r>
      </w:hyperlink>
    </w:p>
    <w:bookmarkEnd w:id="112"/>
    <w:bookmarkStart w:id="113"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13"/>
    <w:bookmarkStart w:id="115"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14">
        <w:r>
          <w:rPr>
            <w:rStyle w:val="Hyperlink"/>
          </w:rPr>
          <w:t xml:space="preserve">https://doi.org/10.1016/j.quascirev.2020.106431</w:t>
        </w:r>
      </w:hyperlink>
    </w:p>
    <w:bookmarkEnd w:id="115"/>
    <w:bookmarkStart w:id="117"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16">
        <w:r>
          <w:rPr>
            <w:rStyle w:val="Hyperlink"/>
          </w:rPr>
          <w:t xml:space="preserve">https://doi.org/10.1080/0043824022000007062</w:t>
        </w:r>
      </w:hyperlink>
    </w:p>
    <w:bookmarkEnd w:id="117"/>
    <w:bookmarkStart w:id="119"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18">
        <w:r>
          <w:rPr>
            <w:rStyle w:val="Hyperlink"/>
          </w:rPr>
          <w:t xml:space="preserve">https://doi.org/10.1371/journal.pone.0273118</w:t>
        </w:r>
      </w:hyperlink>
    </w:p>
    <w:bookmarkEnd w:id="119"/>
    <w:bookmarkStart w:id="121" w:name="ref-marwick2017"/>
    <w:p>
      <w:pPr>
        <w:pStyle w:val="Bibliography"/>
      </w:pPr>
      <w:r>
        <w:t xml:space="preserve">Marwick, B., d’Alpoim Guedes, J., Barton, C. M., Bates, L. A., Baxter, M., Bevan, A., Bollwerk, E. A., Bocinsky, R. K., Brughmans, T., Carter, A. K., Conrad, C., Contreras, D. A., Costa, S., Crema, E. R., Daggett, A., Davies, B., Drake, B. L., Dye, T. S., France, P., … Wren, C. D. (2017). Open science in archaeology.</w:t>
      </w:r>
      <w:r>
        <w:t xml:space="preserve"> </w:t>
      </w:r>
      <w:r>
        <w:rPr>
          <w:iCs/>
          <w:i/>
        </w:rPr>
        <w:t xml:space="preserve">SAA Archaeological Record</w:t>
      </w:r>
      <w:r>
        <w:t xml:space="preserve">,</w:t>
      </w:r>
      <w:r>
        <w:t xml:space="preserve"> </w:t>
      </w:r>
      <w:r>
        <w:rPr>
          <w:iCs/>
          <w:i/>
        </w:rPr>
        <w:t xml:space="preserve">17</w:t>
      </w:r>
      <w:r>
        <w:t xml:space="preserve">(4), 8–14.</w:t>
      </w:r>
      <w:r>
        <w:t xml:space="preserve"> </w:t>
      </w:r>
      <w:hyperlink r:id="rId120">
        <w:r>
          <w:rPr>
            <w:rStyle w:val="Hyperlink"/>
          </w:rPr>
          <w:t xml:space="preserve">http://onlinedigeditions.com/publication/?i=440506</w:t>
        </w:r>
      </w:hyperlink>
    </w:p>
    <w:bookmarkEnd w:id="121"/>
    <w:bookmarkStart w:id="123"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22">
        <w:r>
          <w:rPr>
            <w:rStyle w:val="Hyperlink"/>
          </w:rPr>
          <w:t xml:space="preserve">https://doi.org/10.1016/j.neuron.2021.05.021</w:t>
        </w:r>
      </w:hyperlink>
    </w:p>
    <w:bookmarkEnd w:id="123"/>
    <w:bookmarkStart w:id="125"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24">
        <w:r>
          <w:rPr>
            <w:rStyle w:val="Hyperlink"/>
          </w:rPr>
          <w:t xml:space="preserve">https://doi.org/10.1017/S0959774320000190</w:t>
        </w:r>
      </w:hyperlink>
    </w:p>
    <w:bookmarkEnd w:id="125"/>
    <w:bookmarkStart w:id="127"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26">
        <w:r>
          <w:rPr>
            <w:rStyle w:val="Hyperlink"/>
          </w:rPr>
          <w:t xml:space="preserve">https://doi.org/10.1017/S0959774323000070</w:t>
        </w:r>
      </w:hyperlink>
    </w:p>
    <w:bookmarkEnd w:id="127"/>
    <w:bookmarkStart w:id="128" w:name="ref-nami2010"/>
    <w:p>
      <w:pPr>
        <w:pStyle w:val="Bibliography"/>
      </w:pPr>
      <w:r>
        <w:t xml:space="preserve">Nami, H. G. (2010).</w:t>
      </w:r>
      <w:r>
        <w:t xml:space="preserve"> </w:t>
      </w:r>
      <w:r>
        <w:rPr>
          <w:iCs/>
          <w:i/>
        </w:rPr>
        <w:t xml:space="preserve">Theoretical reflections on experimental archaeology and lithic technology: Issues on actualistic stone tools analysis and interpretation</w:t>
      </w:r>
      <w:r>
        <w:t xml:space="preserve"> </w:t>
      </w:r>
      <w:r>
        <w:t xml:space="preserve">(H. G. Nami, Ed.; pp. 91–168). Ediciones de ArqueologÌa Contempor·nea.</w:t>
      </w:r>
    </w:p>
    <w:bookmarkEnd w:id="128"/>
    <w:bookmarkStart w:id="130"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29">
        <w:r>
          <w:rPr>
            <w:rStyle w:val="Hyperlink"/>
          </w:rPr>
          <w:t xml:space="preserve">https://doi.org/10.1016/j.neuroimage.2020.117254</w:t>
        </w:r>
      </w:hyperlink>
    </w:p>
    <w:bookmarkEnd w:id="130"/>
    <w:bookmarkStart w:id="132" w:name="ref-nichols2007"/>
    <w:p>
      <w:pPr>
        <w:pStyle w:val="Bibliography"/>
      </w:pPr>
      <w:r>
        <w:t xml:space="preserve">Nichols, A. (2007). Causal Inference with Observational Data.</w:t>
      </w:r>
      <w:r>
        <w:t xml:space="preserve"> </w:t>
      </w:r>
      <w:r>
        <w:rPr>
          <w:iCs/>
          <w:i/>
        </w:rPr>
        <w:t xml:space="preserve">The Stata Journal</w:t>
      </w:r>
      <w:r>
        <w:t xml:space="preserve">,</w:t>
      </w:r>
      <w:r>
        <w:t xml:space="preserve"> </w:t>
      </w:r>
      <w:r>
        <w:rPr>
          <w:iCs/>
          <w:i/>
        </w:rPr>
        <w:t xml:space="preserve">7</w:t>
      </w:r>
      <w:r>
        <w:t xml:space="preserve">(4), 507–541.</w:t>
      </w:r>
      <w:r>
        <w:t xml:space="preserve"> </w:t>
      </w:r>
      <w:hyperlink r:id="rId131">
        <w:r>
          <w:rPr>
            <w:rStyle w:val="Hyperlink"/>
          </w:rPr>
          <w:t xml:space="preserve">https://doi.org/10.1177/1536867X0800700403</w:t>
        </w:r>
      </w:hyperlink>
    </w:p>
    <w:bookmarkEnd w:id="132"/>
    <w:bookmarkStart w:id="134" w:name="ref-vanopheusden2023"/>
    <w:p>
      <w:pPr>
        <w:pStyle w:val="Bibliography"/>
      </w:pPr>
      <w:r>
        <w:t xml:space="preserve">Opheusden, B. van, Kuperwajs, I., Galbiati, G., Bnaya, Z., Li, Y., &amp; Ma, W. J. (2023). Expertise increases planning depth in human gameplay.</w:t>
      </w:r>
      <w:r>
        <w:t xml:space="preserve"> </w:t>
      </w:r>
      <w:r>
        <w:rPr>
          <w:iCs/>
          <w:i/>
        </w:rPr>
        <w:t xml:space="preserve">Nature</w:t>
      </w:r>
      <w:r>
        <w:t xml:space="preserve">, 1–6.</w:t>
      </w:r>
      <w:r>
        <w:t xml:space="preserve"> </w:t>
      </w:r>
      <w:hyperlink r:id="rId133">
        <w:r>
          <w:rPr>
            <w:rStyle w:val="Hyperlink"/>
          </w:rPr>
          <w:t xml:space="preserve">https://doi.org/10.1038/s41586-023-06124-2</w:t>
        </w:r>
      </w:hyperlink>
    </w:p>
    <w:bookmarkEnd w:id="134"/>
    <w:bookmarkStart w:id="136"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35">
        <w:r>
          <w:rPr>
            <w:rStyle w:val="Hyperlink"/>
          </w:rPr>
          <w:t xml:space="preserve">https://www.jstor.org/stable/40025310</w:t>
        </w:r>
      </w:hyperlink>
    </w:p>
    <w:bookmarkEnd w:id="136"/>
    <w:bookmarkStart w:id="138"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37">
        <w:r>
          <w:rPr>
            <w:rStyle w:val="Hyperlink"/>
          </w:rPr>
          <w:t xml:space="preserve">https://doi.org/10.1007/s10816-022-09592-4</w:t>
        </w:r>
      </w:hyperlink>
    </w:p>
    <w:bookmarkEnd w:id="138"/>
    <w:bookmarkStart w:id="140"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39">
        <w:r>
          <w:rPr>
            <w:rStyle w:val="Hyperlink"/>
          </w:rPr>
          <w:t xml:space="preserve">https://doi.org/10.1007/s12520-018-0729-0</w:t>
        </w:r>
      </w:hyperlink>
    </w:p>
    <w:bookmarkEnd w:id="140"/>
    <w:bookmarkStart w:id="141"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41"/>
    <w:bookmarkStart w:id="143"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42">
        <w:r>
          <w:rPr>
            <w:rStyle w:val="Hyperlink"/>
          </w:rPr>
          <w:t xml:space="preserve">https://doi.org/10.1002/evan.21823</w:t>
        </w:r>
      </w:hyperlink>
    </w:p>
    <w:bookmarkEnd w:id="143"/>
    <w:bookmarkStart w:id="145"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44">
        <w:r>
          <w:rPr>
            <w:rStyle w:val="Hyperlink"/>
          </w:rPr>
          <w:t xml:space="preserve">https://www.jstor.org/stable/27825902</w:t>
        </w:r>
      </w:hyperlink>
    </w:p>
    <w:bookmarkEnd w:id="145"/>
    <w:bookmarkStart w:id="146" w:name="ref-reevesflores2010"/>
    <w:p>
      <w:pPr>
        <w:pStyle w:val="Bibliography"/>
      </w:pPr>
      <w:r>
        <w:t xml:space="preserve">Reeves Flores, J. (2010).</w:t>
      </w:r>
      <w:r>
        <w:t xml:space="preserve"> </w:t>
      </w:r>
      <w:r>
        <w:rPr>
          <w:iCs/>
          <w:i/>
        </w:rPr>
        <w:t xml:space="preserve">Creating a history of experimental archaeology</w:t>
      </w:r>
      <w:r>
        <w:t xml:space="preserve"> </w:t>
      </w:r>
      <w:r>
        <w:t xml:space="preserve">(D. Millson, Ed.; pp. 29–45). Oxbow Books.</w:t>
      </w:r>
    </w:p>
    <w:bookmarkEnd w:id="146"/>
    <w:bookmarkStart w:id="148"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47">
        <w:r>
          <w:rPr>
            <w:rStyle w:val="Hyperlink"/>
          </w:rPr>
          <w:t xml:space="preserve">https://ore.exeter.ac.uk/repository/handle/10871/9041</w:t>
        </w:r>
      </w:hyperlink>
    </w:p>
    <w:bookmarkEnd w:id="148"/>
    <w:bookmarkStart w:id="149"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pp. 156–162). Oxbow Books.</w:t>
      </w:r>
    </w:p>
    <w:bookmarkEnd w:id="149"/>
    <w:bookmarkStart w:id="151"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50">
        <w:r>
          <w:rPr>
            <w:rStyle w:val="Hyperlink"/>
          </w:rPr>
          <w:t xml:space="preserve">https://www.jstor.org/stable/20616293</w:t>
        </w:r>
      </w:hyperlink>
    </w:p>
    <w:bookmarkEnd w:id="151"/>
    <w:bookmarkStart w:id="152"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52"/>
    <w:bookmarkStart w:id="154"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53">
        <w:r>
          <w:rPr>
            <w:rStyle w:val="Hyperlink"/>
          </w:rPr>
          <w:t xml:space="preserve">https://doi.org/10.1016/j.jas.2016.04.013</w:t>
        </w:r>
      </w:hyperlink>
    </w:p>
    <w:bookmarkEnd w:id="154"/>
    <w:bookmarkStart w:id="156"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55">
        <w:r>
          <w:rPr>
            <w:rStyle w:val="Hyperlink"/>
          </w:rPr>
          <w:t xml:space="preserve">https://doi.org/10.5334/jcaa.29</w:t>
        </w:r>
      </w:hyperlink>
    </w:p>
    <w:bookmarkEnd w:id="156"/>
    <w:bookmarkStart w:id="158" w:name="ref-schulz2002"/>
    <w:p>
      <w:pPr>
        <w:pStyle w:val="Bibliography"/>
      </w:pPr>
      <w:r>
        <w:t xml:space="preserve">Schulz, K. F., &amp; Grimes, D. A. (2002). Allocation concealment in randomised trials: defending against deciphering.</w:t>
      </w:r>
      <w:r>
        <w:t xml:space="preserve"> </w:t>
      </w:r>
      <w:r>
        <w:rPr>
          <w:iCs/>
          <w:i/>
        </w:rPr>
        <w:t xml:space="preserve">The Lancet</w:t>
      </w:r>
      <w:r>
        <w:t xml:space="preserve">,</w:t>
      </w:r>
      <w:r>
        <w:t xml:space="preserve"> </w:t>
      </w:r>
      <w:r>
        <w:rPr>
          <w:iCs/>
          <w:i/>
        </w:rPr>
        <w:t xml:space="preserve">359</w:t>
      </w:r>
      <w:r>
        <w:t xml:space="preserve">(9306), 614–618.</w:t>
      </w:r>
      <w:r>
        <w:t xml:space="preserve"> </w:t>
      </w:r>
      <w:hyperlink r:id="rId157">
        <w:r>
          <w:rPr>
            <w:rStyle w:val="Hyperlink"/>
          </w:rPr>
          <w:t xml:space="preserve">https://doi.org/10.1016/S0140-6736(02)07750-4</w:t>
        </w:r>
      </w:hyperlink>
    </w:p>
    <w:bookmarkEnd w:id="158"/>
    <w:bookmarkStart w:id="160"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59">
        <w:r>
          <w:rPr>
            <w:rStyle w:val="Hyperlink"/>
          </w:rPr>
          <w:t xml:space="preserve">https://doi.org/10.1177/1745691619856350</w:t>
        </w:r>
      </w:hyperlink>
    </w:p>
    <w:bookmarkEnd w:id="160"/>
    <w:bookmarkStart w:id="162"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61">
        <w:r>
          <w:rPr>
            <w:rStyle w:val="Hyperlink"/>
          </w:rPr>
          <w:t xml:space="preserve">https://doi.org/10.1145/2756406.2756951</w:t>
        </w:r>
      </w:hyperlink>
    </w:p>
    <w:bookmarkEnd w:id="162"/>
    <w:bookmarkStart w:id="164"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63">
        <w:r>
          <w:rPr>
            <w:rStyle w:val="Hyperlink"/>
          </w:rPr>
          <w:t xml:space="preserve">https://doi.org/10.1016/j.tics.2019.05.004</w:t>
        </w:r>
      </w:hyperlink>
    </w:p>
    <w:bookmarkEnd w:id="164"/>
    <w:bookmarkStart w:id="166" w:name="ref-speich2019"/>
    <w:p>
      <w:pPr>
        <w:pStyle w:val="Bibliography"/>
      </w:pPr>
      <w:r>
        <w:t xml:space="preserve">Speich, B., Schur, N., Gryaznov, D., Niederhäusern, B. von, Hemkens, L. G., Schandelmaier, S., Amstutz, A., Kasenda, B., Pauli-Magnus, C., Ojeda-Ruiz, E., Tomonaga, Y., McCord, K., Nordmann, A., Elm, E. von, Briel, M., Schwenkglenks, M., &amp; Groups, a. collaboration of the M. (MAking. R. T. A. and A. (Adherence. to S. P. I. Re. for interventional trials). S. (2019). Resource use, costs, and approval times for planning and preparing a randomized clinical trial before and after the implementation of the new Swiss human research legislation.</w:t>
      </w:r>
      <w:r>
        <w:t xml:space="preserve"> </w:t>
      </w:r>
      <w:r>
        <w:rPr>
          <w:iCs/>
          <w:i/>
        </w:rPr>
        <w:t xml:space="preserve">PLOS ONE</w:t>
      </w:r>
      <w:r>
        <w:t xml:space="preserve">,</w:t>
      </w:r>
      <w:r>
        <w:t xml:space="preserve"> </w:t>
      </w:r>
      <w:r>
        <w:rPr>
          <w:iCs/>
          <w:i/>
        </w:rPr>
        <w:t xml:space="preserve">14</w:t>
      </w:r>
      <w:r>
        <w:t xml:space="preserve">(1), e0210669.</w:t>
      </w:r>
      <w:r>
        <w:t xml:space="preserve"> </w:t>
      </w:r>
      <w:hyperlink r:id="rId165">
        <w:r>
          <w:rPr>
            <w:rStyle w:val="Hyperlink"/>
          </w:rPr>
          <w:t xml:space="preserve">https://doi.org/10.1371/journal.pone.0210669</w:t>
        </w:r>
      </w:hyperlink>
    </w:p>
    <w:bookmarkEnd w:id="166"/>
    <w:bookmarkStart w:id="168"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67">
        <w:r>
          <w:rPr>
            <w:rStyle w:val="Hyperlink"/>
          </w:rPr>
          <w:t xml:space="preserve">https://doi.org/10.1086/342638</w:t>
        </w:r>
      </w:hyperlink>
    </w:p>
    <w:bookmarkEnd w:id="168"/>
    <w:bookmarkStart w:id="170"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169">
        <w:r>
          <w:rPr>
            <w:rStyle w:val="Hyperlink"/>
          </w:rPr>
          <w:t xml:space="preserve">https://doi.org/10.1016/j.tics.2021.07.005</w:t>
        </w:r>
      </w:hyperlink>
    </w:p>
    <w:bookmarkEnd w:id="170"/>
    <w:bookmarkStart w:id="172"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71">
        <w:r>
          <w:rPr>
            <w:rStyle w:val="Hyperlink"/>
          </w:rPr>
          <w:t xml:space="preserve">https://doi.org/10.1038/s41598-021-92992-5</w:t>
        </w:r>
      </w:hyperlink>
    </w:p>
    <w:bookmarkEnd w:id="172"/>
    <w:bookmarkStart w:id="174" w:name="ref-stout2023"/>
    <w:p>
      <w:pPr>
        <w:pStyle w:val="Bibliography"/>
      </w:pPr>
      <w:r>
        <w:t xml:space="preserve">Stout, D., &amp; Hecht, E. (2023).</w:t>
      </w:r>
      <w:r>
        <w:t xml:space="preserve"> </w:t>
      </w:r>
      <w:r>
        <w:rPr>
          <w:iCs/>
          <w:i/>
        </w:rPr>
        <w:t xml:space="preserve">Evolutionary neuroarchaeology</w:t>
      </w:r>
      <w:r>
        <w:t xml:space="preserve"> </w:t>
      </w:r>
      <w:r>
        <w:t xml:space="preserve">(T. Wynn, K. A. Overmann, &amp; F. L. Coolidge, Eds.; p. C14.S1C14.S11). Oxford University Press.</w:t>
      </w:r>
      <w:r>
        <w:t xml:space="preserve"> </w:t>
      </w:r>
      <w:hyperlink r:id="rId173">
        <w:r>
          <w:rPr>
            <w:rStyle w:val="Hyperlink"/>
          </w:rPr>
          <w:t xml:space="preserve">https://doi.org/10.1093/oxfordhb/9780192895950.013.14</w:t>
        </w:r>
      </w:hyperlink>
    </w:p>
    <w:bookmarkEnd w:id="174"/>
    <w:bookmarkStart w:id="176"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75">
        <w:r>
          <w:rPr>
            <w:rStyle w:val="Hyperlink"/>
          </w:rPr>
          <w:t xml:space="preserve">https://doi.org/10.1017/S0140525X21000431</w:t>
        </w:r>
      </w:hyperlink>
    </w:p>
    <w:bookmarkEnd w:id="176"/>
    <w:bookmarkStart w:id="178" w:name="ref-timbrell2022"/>
    <w:p>
      <w:pPr>
        <w:pStyle w:val="Bibliography"/>
      </w:pPr>
      <w:r>
        <w:t xml:space="preserve">Timbrell, L. (2022). A collaborative model for lithic shape digitization in museum settings.</w:t>
      </w:r>
      <w:r>
        <w:t xml:space="preserve"> </w:t>
      </w:r>
      <w:r>
        <w:rPr>
          <w:iCs/>
          <w:i/>
        </w:rPr>
        <w:t xml:space="preserve">Lithic Technology</w:t>
      </w:r>
      <w:r>
        <w:t xml:space="preserve">,</w:t>
      </w:r>
      <w:r>
        <w:t xml:space="preserve"> </w:t>
      </w:r>
      <w:r>
        <w:rPr>
          <w:iCs/>
          <w:i/>
        </w:rPr>
        <w:t xml:space="preserve">0</w:t>
      </w:r>
      <w:r>
        <w:t xml:space="preserve">(0), 1–12.</w:t>
      </w:r>
      <w:r>
        <w:t xml:space="preserve"> </w:t>
      </w:r>
      <w:hyperlink r:id="rId177">
        <w:r>
          <w:rPr>
            <w:rStyle w:val="Hyperlink"/>
          </w:rPr>
          <w:t xml:space="preserve">https://doi.org/10.1080/01977261.2022.2092299</w:t>
        </w:r>
      </w:hyperlink>
    </w:p>
    <w:bookmarkEnd w:id="178"/>
    <w:bookmarkStart w:id="179"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79"/>
    <w:bookmarkStart w:id="181"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80">
        <w:r>
          <w:rPr>
            <w:rStyle w:val="Hyperlink"/>
          </w:rPr>
          <w:t xml:space="preserve">https://www.frontiersin.org/articles/10.3389/fpsyg.2019.02196</w:t>
        </w:r>
      </w:hyperlink>
    </w:p>
    <w:bookmarkEnd w:id="181"/>
    <w:bookmarkStart w:id="182" w:name="ref-whittaker1994"/>
    <w:p>
      <w:pPr>
        <w:pStyle w:val="Bibliography"/>
      </w:pPr>
      <w:r>
        <w:t xml:space="preserve">Whittaker, John C. (1994).</w:t>
      </w:r>
      <w:r>
        <w:t xml:space="preserve"> </w:t>
      </w:r>
      <w:r>
        <w:rPr>
          <w:iCs/>
          <w:i/>
        </w:rPr>
        <w:t xml:space="preserve">Flintknapping: Making and Understanding Stone Tools</w:t>
      </w:r>
      <w:r>
        <w:t xml:space="preserve">. University of Texas Press.</w:t>
      </w:r>
    </w:p>
    <w:bookmarkEnd w:id="182"/>
    <w:bookmarkStart w:id="183" w:name="ref-whittaker2004"/>
    <w:p>
      <w:pPr>
        <w:pStyle w:val="Bibliography"/>
      </w:pPr>
      <w:r>
        <w:t xml:space="preserve">Whittaker, John, C. (2004).</w:t>
      </w:r>
      <w:r>
        <w:t xml:space="preserve"> </w:t>
      </w:r>
      <w:r>
        <w:rPr>
          <w:iCs/>
          <w:i/>
        </w:rPr>
        <w:t xml:space="preserve">American Flintknappers: Stone Age Art in the Age of Computers</w:t>
      </w:r>
      <w:r>
        <w:t xml:space="preserve">. University of Texas Press.</w:t>
      </w:r>
    </w:p>
    <w:bookmarkEnd w:id="183"/>
    <w:bookmarkStart w:id="185" w:name="ref-whittaker1999"/>
    <w:p>
      <w:pPr>
        <w:pStyle w:val="Bibliography"/>
      </w:pPr>
      <w:r>
        <w:t xml:space="preserve">Whittaker, John C., &amp; Stafford, M. (1999). Replicas, fakes, and art: The twentieth century stone age and its effects on archaeology.</w:t>
      </w:r>
      <w:r>
        <w:t xml:space="preserve"> </w:t>
      </w:r>
      <w:r>
        <w:rPr>
          <w:iCs/>
          <w:i/>
        </w:rPr>
        <w:t xml:space="preserve">American Antiquity</w:t>
      </w:r>
      <w:r>
        <w:t xml:space="preserve">,</w:t>
      </w:r>
      <w:r>
        <w:t xml:space="preserve"> </w:t>
      </w:r>
      <w:r>
        <w:rPr>
          <w:iCs/>
          <w:i/>
        </w:rPr>
        <w:t xml:space="preserve">64</w:t>
      </w:r>
      <w:r>
        <w:t xml:space="preserve">(2), 203–214.</w:t>
      </w:r>
      <w:r>
        <w:t xml:space="preserve"> </w:t>
      </w:r>
      <w:hyperlink r:id="rId184">
        <w:r>
          <w:rPr>
            <w:rStyle w:val="Hyperlink"/>
          </w:rPr>
          <w:t xml:space="preserve">https://doi.org/10.2307/2694274</w:t>
        </w:r>
      </w:hyperlink>
    </w:p>
    <w:bookmarkEnd w:id="185"/>
    <w:bookmarkStart w:id="187"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86">
        <w:r>
          <w:rPr>
            <w:rStyle w:val="Hyperlink"/>
          </w:rPr>
          <w:t xml:space="preserve">https://doi.org/10.1038/sdata.2016.18</w:t>
        </w:r>
      </w:hyperlink>
    </w:p>
    <w:bookmarkEnd w:id="187"/>
    <w:bookmarkStart w:id="189"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188">
        <w:r>
          <w:rPr>
            <w:rStyle w:val="Hyperlink"/>
          </w:rPr>
          <w:t xml:space="preserve">https://doi.org/10.1017/S0140525X20001685</w:t>
        </w:r>
      </w:hyperlink>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raylc1996@outlook.com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20" Target="http://onlinedigeditions.com/publication/?i=440506" TargetMode="External" /><Relationship Type="http://schemas.openxmlformats.org/officeDocument/2006/relationships/hyperlink" Id="rId142" Target="https://doi.org/10.1002/evan.21823" TargetMode="External" /><Relationship Type="http://schemas.openxmlformats.org/officeDocument/2006/relationships/hyperlink" Id="rId105" Target="https://doi.org/10.1002/evan.21964" TargetMode="External" /><Relationship Type="http://schemas.openxmlformats.org/officeDocument/2006/relationships/hyperlink" Id="rId63" Target="https://doi.org/10.1007/s10437-020-09404-8" TargetMode="External" /><Relationship Type="http://schemas.openxmlformats.org/officeDocument/2006/relationships/hyperlink" Id="rId97" Target="https://doi.org/10.1007/s10816-013-9188-1" TargetMode="External" /><Relationship Type="http://schemas.openxmlformats.org/officeDocument/2006/relationships/hyperlink" Id="rId101" Target="https://doi.org/10.1007/s10816-017-9351-1" TargetMode="External" /><Relationship Type="http://schemas.openxmlformats.org/officeDocument/2006/relationships/hyperlink" Id="rId99" Target="https://doi.org/10.1007/s10816-022-09586-2" TargetMode="External" /><Relationship Type="http://schemas.openxmlformats.org/officeDocument/2006/relationships/hyperlink" Id="rId137" Target="https://doi.org/10.1007/s10816-022-09592-4" TargetMode="External" /><Relationship Type="http://schemas.openxmlformats.org/officeDocument/2006/relationships/hyperlink" Id="rId139" Target="https://doi.org/10.1007/s12520-018-0729-0" TargetMode="External" /><Relationship Type="http://schemas.openxmlformats.org/officeDocument/2006/relationships/hyperlink" Id="rId157" Target="https://doi.org/10.1016/S0140-6736(02)07750-4" TargetMode="External" /><Relationship Type="http://schemas.openxmlformats.org/officeDocument/2006/relationships/hyperlink" Id="rId72" Target="https://doi.org/10.1016/bs.asb.2018.01.001" TargetMode="External" /><Relationship Type="http://schemas.openxmlformats.org/officeDocument/2006/relationships/hyperlink" Id="rId84" Target="https://doi.org/10.1016/j.cub.2021.01.096" TargetMode="External" /><Relationship Type="http://schemas.openxmlformats.org/officeDocument/2006/relationships/hyperlink" Id="rId153" Target="https://doi.org/10.1016/j.jas.2016.04.013" TargetMode="External" /><Relationship Type="http://schemas.openxmlformats.org/officeDocument/2006/relationships/hyperlink" Id="rId103" Target="https://doi.org/10.1016/j.jasrep.2023.103974" TargetMode="External" /><Relationship Type="http://schemas.openxmlformats.org/officeDocument/2006/relationships/hyperlink" Id="rId129" Target="https://doi.org/10.1016/j.neuroimage.2020.117254" TargetMode="External" /><Relationship Type="http://schemas.openxmlformats.org/officeDocument/2006/relationships/hyperlink" Id="rId122" Target="https://doi.org/10.1016/j.neuron.2021.05.021" TargetMode="External" /><Relationship Type="http://schemas.openxmlformats.org/officeDocument/2006/relationships/hyperlink" Id="rId114" Target="https://doi.org/10.1016/j.quascirev.2020.106431" TargetMode="External" /><Relationship Type="http://schemas.openxmlformats.org/officeDocument/2006/relationships/hyperlink" Id="rId163" Target="https://doi.org/10.1016/j.tics.2019.05.004" TargetMode="External" /><Relationship Type="http://schemas.openxmlformats.org/officeDocument/2006/relationships/hyperlink" Id="rId169" Target="https://doi.org/10.1016/j.tics.2021.07.005" TargetMode="External" /><Relationship Type="http://schemas.openxmlformats.org/officeDocument/2006/relationships/hyperlink" Id="rId188" Target="https://doi.org/10.1017/S0140525X20001685" TargetMode="External" /><Relationship Type="http://schemas.openxmlformats.org/officeDocument/2006/relationships/hyperlink" Id="rId175" Target="https://doi.org/10.1017/S0140525X21000431" TargetMode="External" /><Relationship Type="http://schemas.openxmlformats.org/officeDocument/2006/relationships/hyperlink" Id="rId91" Target="https://doi.org/10.1017/S0959774304230050" TargetMode="External" /><Relationship Type="http://schemas.openxmlformats.org/officeDocument/2006/relationships/hyperlink" Id="rId109" Target="https://doi.org/10.1017/S095977431200025X" TargetMode="External" /><Relationship Type="http://schemas.openxmlformats.org/officeDocument/2006/relationships/hyperlink" Id="rId124"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6" Target="https://doi.org/10.1017/S0959774323000070" TargetMode="External" /><Relationship Type="http://schemas.openxmlformats.org/officeDocument/2006/relationships/hyperlink" Id="rId53" Target="https://doi.org/10.1017/S1745855207005029" TargetMode="External" /><Relationship Type="http://schemas.openxmlformats.org/officeDocument/2006/relationships/hyperlink" Id="rId89" Target="https://doi.org/10.1037/1076-898X.5.2.205" TargetMode="External" /><Relationship Type="http://schemas.openxmlformats.org/officeDocument/2006/relationships/hyperlink" Id="rId133" Target="https://doi.org/10.1038/s41586-023-06124-2" TargetMode="External" /><Relationship Type="http://schemas.openxmlformats.org/officeDocument/2006/relationships/hyperlink" Id="rId107" Target="https://doi.org/10.1038/s41598-017-14322-y" TargetMode="External" /><Relationship Type="http://schemas.openxmlformats.org/officeDocument/2006/relationships/hyperlink" Id="rId171" Target="https://doi.org/10.1038/s41598-021-92992-5" TargetMode="External" /><Relationship Type="http://schemas.openxmlformats.org/officeDocument/2006/relationships/hyperlink" Id="rId186" Target="https://doi.org/10.1038/sdata.2016.18" TargetMode="External" /><Relationship Type="http://schemas.openxmlformats.org/officeDocument/2006/relationships/hyperlink" Id="rId47" Target="https://doi.org/10.1080/00031305.2017.1375989" TargetMode="External" /><Relationship Type="http://schemas.openxmlformats.org/officeDocument/2006/relationships/hyperlink" Id="rId116"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7" Target="https://doi.org/10.1080/01977261.2022.2092299" TargetMode="External" /><Relationship Type="http://schemas.openxmlformats.org/officeDocument/2006/relationships/hyperlink" Id="rId66" Target="https://doi.org/10.1080/19442890.2016.1213972" TargetMode="External" /><Relationship Type="http://schemas.openxmlformats.org/officeDocument/2006/relationships/hyperlink" Id="rId95" Target="https://doi.org/10.1086/202078" TargetMode="External" /><Relationship Type="http://schemas.openxmlformats.org/officeDocument/2006/relationships/hyperlink" Id="rId49" Target="https://doi.org/10.1086/261651" TargetMode="External" /><Relationship Type="http://schemas.openxmlformats.org/officeDocument/2006/relationships/hyperlink" Id="rId167" Target="https://doi.org/10.1086/342638" TargetMode="External" /><Relationship Type="http://schemas.openxmlformats.org/officeDocument/2006/relationships/hyperlink" Id="rId80" Target="https://doi.org/10.1086/650295" TargetMode="External" /><Relationship Type="http://schemas.openxmlformats.org/officeDocument/2006/relationships/hyperlink" Id="rId82" Target="https://doi.org/10.1093/oxfordhb/9780192895950.013.12" TargetMode="External" /><Relationship Type="http://schemas.openxmlformats.org/officeDocument/2006/relationships/hyperlink" Id="rId173" Target="https://doi.org/10.1093/oxfordhb/9780192895950.013.14" TargetMode="External" /><Relationship Type="http://schemas.openxmlformats.org/officeDocument/2006/relationships/hyperlink" Id="rId74" Target="https://doi.org/10.1111/2041-210X.12584" TargetMode="External" /><Relationship Type="http://schemas.openxmlformats.org/officeDocument/2006/relationships/hyperlink" Id="rId70" Target="https://doi.org/10.1136/bmjopen-2011-000496" TargetMode="External" /><Relationship Type="http://schemas.openxmlformats.org/officeDocument/2006/relationships/hyperlink" Id="rId161" Target="https://doi.org/10.1145/2756406.2756951" TargetMode="External" /><Relationship Type="http://schemas.openxmlformats.org/officeDocument/2006/relationships/hyperlink" Id="rId68" Target="https://doi.org/10.1146/annurev.an.13.100184.001155" TargetMode="External" /><Relationship Type="http://schemas.openxmlformats.org/officeDocument/2006/relationships/hyperlink" Id="rId76" Target="https://doi.org/10.1167/15.12.280" TargetMode="External" /><Relationship Type="http://schemas.openxmlformats.org/officeDocument/2006/relationships/hyperlink" Id="rId131" Target="https://doi.org/10.1177/1536867X0800700403" TargetMode="External" /><Relationship Type="http://schemas.openxmlformats.org/officeDocument/2006/relationships/hyperlink" Id="rId159" Target="https://doi.org/10.1177/1745691619856350" TargetMode="External" /><Relationship Type="http://schemas.openxmlformats.org/officeDocument/2006/relationships/hyperlink" Id="rId86" Target="https://doi.org/10.1257/aer.91.2.73" TargetMode="External" /><Relationship Type="http://schemas.openxmlformats.org/officeDocument/2006/relationships/hyperlink" Id="rId40" Target="https://doi.org/10.1371/journal.pcbi.1010325" TargetMode="External" /><Relationship Type="http://schemas.openxmlformats.org/officeDocument/2006/relationships/hyperlink" Id="rId165" Target="https://doi.org/10.1371/journal.pone.0210669" TargetMode="External" /><Relationship Type="http://schemas.openxmlformats.org/officeDocument/2006/relationships/hyperlink" Id="rId118" Target="https://doi.org/10.1371/journal.pone.0273118" TargetMode="External" /><Relationship Type="http://schemas.openxmlformats.org/officeDocument/2006/relationships/hyperlink" Id="rId45" Target="https://doi.org/10.2218/jls.v3i1.1522" TargetMode="External" /><Relationship Type="http://schemas.openxmlformats.org/officeDocument/2006/relationships/hyperlink" Id="rId184" Target="https://doi.org/10.2307/2694274" TargetMode="External" /><Relationship Type="http://schemas.openxmlformats.org/officeDocument/2006/relationships/hyperlink" Id="rId59" Target="https://doi.org/10.2307/j.ctv1c29t27" TargetMode="External" /><Relationship Type="http://schemas.openxmlformats.org/officeDocument/2006/relationships/hyperlink" Id="rId111" Target="https://doi.org/10.4207/PA.2014.ART90" TargetMode="External" /><Relationship Type="http://schemas.openxmlformats.org/officeDocument/2006/relationships/hyperlink" Id="rId51" Target="https://doi.org/10.5334/dsj-2020-043" TargetMode="External" /><Relationship Type="http://schemas.openxmlformats.org/officeDocument/2006/relationships/hyperlink" Id="rId155" Target="https://doi.org/10.5334/jcaa.29" TargetMode="External" /><Relationship Type="http://schemas.openxmlformats.org/officeDocument/2006/relationships/hyperlink" Id="rId147" Target="https://ore.exeter.ac.uk/repository/handle/10871/9041" TargetMode="External" /><Relationship Type="http://schemas.openxmlformats.org/officeDocument/2006/relationships/hyperlink" Id="rId38" Target="https://proceedings.neurips.cc/paper/2018/hash/d89a66c7c80a29b1bdbab0f2a1a94af8-Abstract.html" TargetMode="External" /><Relationship Type="http://schemas.openxmlformats.org/officeDocument/2006/relationships/hyperlink" Id="rId180" Target="https://www.frontiersin.org/articles/10.3389/fpsyg.2019.02196" TargetMode="External" /><Relationship Type="http://schemas.openxmlformats.org/officeDocument/2006/relationships/hyperlink" Id="rId150" Target="https://www.jstor.org/stable/20616293" TargetMode="External" /><Relationship Type="http://schemas.openxmlformats.org/officeDocument/2006/relationships/hyperlink" Id="rId144" Target="https://www.jstor.org/stable/27825902" TargetMode="External" /><Relationship Type="http://schemas.openxmlformats.org/officeDocument/2006/relationships/hyperlink" Id="rId135" Target="https://www.jstor.org/stable/40025310" TargetMode="External" /><Relationship Type="http://schemas.openxmlformats.org/officeDocument/2006/relationships/hyperlink" Id="rId21" Target="mailto:raylc1996@outlook.com" TargetMode="External" /></Relationships>
</file>

<file path=word/_rels/footnotes.xml.rels><?xml version="1.0" encoding="UTF-8"?><Relationships xmlns="http://schemas.openxmlformats.org/package/2006/relationships"><Relationship Type="http://schemas.openxmlformats.org/officeDocument/2006/relationships/hyperlink" Id="rId120" Target="http://onlinedigeditions.com/publication/?i=440506" TargetMode="External" /><Relationship Type="http://schemas.openxmlformats.org/officeDocument/2006/relationships/hyperlink" Id="rId142" Target="https://doi.org/10.1002/evan.21823" TargetMode="External" /><Relationship Type="http://schemas.openxmlformats.org/officeDocument/2006/relationships/hyperlink" Id="rId105" Target="https://doi.org/10.1002/evan.21964" TargetMode="External" /><Relationship Type="http://schemas.openxmlformats.org/officeDocument/2006/relationships/hyperlink" Id="rId63" Target="https://doi.org/10.1007/s10437-020-09404-8" TargetMode="External" /><Relationship Type="http://schemas.openxmlformats.org/officeDocument/2006/relationships/hyperlink" Id="rId97" Target="https://doi.org/10.1007/s10816-013-9188-1" TargetMode="External" /><Relationship Type="http://schemas.openxmlformats.org/officeDocument/2006/relationships/hyperlink" Id="rId101" Target="https://doi.org/10.1007/s10816-017-9351-1" TargetMode="External" /><Relationship Type="http://schemas.openxmlformats.org/officeDocument/2006/relationships/hyperlink" Id="rId99" Target="https://doi.org/10.1007/s10816-022-09586-2" TargetMode="External" /><Relationship Type="http://schemas.openxmlformats.org/officeDocument/2006/relationships/hyperlink" Id="rId137" Target="https://doi.org/10.1007/s10816-022-09592-4" TargetMode="External" /><Relationship Type="http://schemas.openxmlformats.org/officeDocument/2006/relationships/hyperlink" Id="rId139" Target="https://doi.org/10.1007/s12520-018-0729-0" TargetMode="External" /><Relationship Type="http://schemas.openxmlformats.org/officeDocument/2006/relationships/hyperlink" Id="rId157" Target="https://doi.org/10.1016/S0140-6736(02)07750-4" TargetMode="External" /><Relationship Type="http://schemas.openxmlformats.org/officeDocument/2006/relationships/hyperlink" Id="rId72" Target="https://doi.org/10.1016/bs.asb.2018.01.001" TargetMode="External" /><Relationship Type="http://schemas.openxmlformats.org/officeDocument/2006/relationships/hyperlink" Id="rId84" Target="https://doi.org/10.1016/j.cub.2021.01.096" TargetMode="External" /><Relationship Type="http://schemas.openxmlformats.org/officeDocument/2006/relationships/hyperlink" Id="rId153" Target="https://doi.org/10.1016/j.jas.2016.04.013" TargetMode="External" /><Relationship Type="http://schemas.openxmlformats.org/officeDocument/2006/relationships/hyperlink" Id="rId103" Target="https://doi.org/10.1016/j.jasrep.2023.103974" TargetMode="External" /><Relationship Type="http://schemas.openxmlformats.org/officeDocument/2006/relationships/hyperlink" Id="rId129" Target="https://doi.org/10.1016/j.neuroimage.2020.117254" TargetMode="External" /><Relationship Type="http://schemas.openxmlformats.org/officeDocument/2006/relationships/hyperlink" Id="rId122" Target="https://doi.org/10.1016/j.neuron.2021.05.021" TargetMode="External" /><Relationship Type="http://schemas.openxmlformats.org/officeDocument/2006/relationships/hyperlink" Id="rId114" Target="https://doi.org/10.1016/j.quascirev.2020.106431" TargetMode="External" /><Relationship Type="http://schemas.openxmlformats.org/officeDocument/2006/relationships/hyperlink" Id="rId163" Target="https://doi.org/10.1016/j.tics.2019.05.004" TargetMode="External" /><Relationship Type="http://schemas.openxmlformats.org/officeDocument/2006/relationships/hyperlink" Id="rId169" Target="https://doi.org/10.1016/j.tics.2021.07.005" TargetMode="External" /><Relationship Type="http://schemas.openxmlformats.org/officeDocument/2006/relationships/hyperlink" Id="rId188" Target="https://doi.org/10.1017/S0140525X20001685" TargetMode="External" /><Relationship Type="http://schemas.openxmlformats.org/officeDocument/2006/relationships/hyperlink" Id="rId175" Target="https://doi.org/10.1017/S0140525X21000431" TargetMode="External" /><Relationship Type="http://schemas.openxmlformats.org/officeDocument/2006/relationships/hyperlink" Id="rId91" Target="https://doi.org/10.1017/S0959774304230050" TargetMode="External" /><Relationship Type="http://schemas.openxmlformats.org/officeDocument/2006/relationships/hyperlink" Id="rId109" Target="https://doi.org/10.1017/S095977431200025X" TargetMode="External" /><Relationship Type="http://schemas.openxmlformats.org/officeDocument/2006/relationships/hyperlink" Id="rId124"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6" Target="https://doi.org/10.1017/S0959774323000070" TargetMode="External" /><Relationship Type="http://schemas.openxmlformats.org/officeDocument/2006/relationships/hyperlink" Id="rId53" Target="https://doi.org/10.1017/S1745855207005029" TargetMode="External" /><Relationship Type="http://schemas.openxmlformats.org/officeDocument/2006/relationships/hyperlink" Id="rId89" Target="https://doi.org/10.1037/1076-898X.5.2.205" TargetMode="External" /><Relationship Type="http://schemas.openxmlformats.org/officeDocument/2006/relationships/hyperlink" Id="rId133" Target="https://doi.org/10.1038/s41586-023-06124-2" TargetMode="External" /><Relationship Type="http://schemas.openxmlformats.org/officeDocument/2006/relationships/hyperlink" Id="rId107" Target="https://doi.org/10.1038/s41598-017-14322-y" TargetMode="External" /><Relationship Type="http://schemas.openxmlformats.org/officeDocument/2006/relationships/hyperlink" Id="rId171" Target="https://doi.org/10.1038/s41598-021-92992-5" TargetMode="External" /><Relationship Type="http://schemas.openxmlformats.org/officeDocument/2006/relationships/hyperlink" Id="rId186" Target="https://doi.org/10.1038/sdata.2016.18" TargetMode="External" /><Relationship Type="http://schemas.openxmlformats.org/officeDocument/2006/relationships/hyperlink" Id="rId47" Target="https://doi.org/10.1080/00031305.2017.1375989" TargetMode="External" /><Relationship Type="http://schemas.openxmlformats.org/officeDocument/2006/relationships/hyperlink" Id="rId116"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7" Target="https://doi.org/10.1080/01977261.2022.2092299" TargetMode="External" /><Relationship Type="http://schemas.openxmlformats.org/officeDocument/2006/relationships/hyperlink" Id="rId66" Target="https://doi.org/10.1080/19442890.2016.1213972" TargetMode="External" /><Relationship Type="http://schemas.openxmlformats.org/officeDocument/2006/relationships/hyperlink" Id="rId95" Target="https://doi.org/10.1086/202078" TargetMode="External" /><Relationship Type="http://schemas.openxmlformats.org/officeDocument/2006/relationships/hyperlink" Id="rId49" Target="https://doi.org/10.1086/261651" TargetMode="External" /><Relationship Type="http://schemas.openxmlformats.org/officeDocument/2006/relationships/hyperlink" Id="rId167" Target="https://doi.org/10.1086/342638" TargetMode="External" /><Relationship Type="http://schemas.openxmlformats.org/officeDocument/2006/relationships/hyperlink" Id="rId80" Target="https://doi.org/10.1086/650295" TargetMode="External" /><Relationship Type="http://schemas.openxmlformats.org/officeDocument/2006/relationships/hyperlink" Id="rId82" Target="https://doi.org/10.1093/oxfordhb/9780192895950.013.12" TargetMode="External" /><Relationship Type="http://schemas.openxmlformats.org/officeDocument/2006/relationships/hyperlink" Id="rId173" Target="https://doi.org/10.1093/oxfordhb/9780192895950.013.14" TargetMode="External" /><Relationship Type="http://schemas.openxmlformats.org/officeDocument/2006/relationships/hyperlink" Id="rId74" Target="https://doi.org/10.1111/2041-210X.12584" TargetMode="External" /><Relationship Type="http://schemas.openxmlformats.org/officeDocument/2006/relationships/hyperlink" Id="rId70" Target="https://doi.org/10.1136/bmjopen-2011-000496" TargetMode="External" /><Relationship Type="http://schemas.openxmlformats.org/officeDocument/2006/relationships/hyperlink" Id="rId161" Target="https://doi.org/10.1145/2756406.2756951" TargetMode="External" /><Relationship Type="http://schemas.openxmlformats.org/officeDocument/2006/relationships/hyperlink" Id="rId68" Target="https://doi.org/10.1146/annurev.an.13.100184.001155" TargetMode="External" /><Relationship Type="http://schemas.openxmlformats.org/officeDocument/2006/relationships/hyperlink" Id="rId76" Target="https://doi.org/10.1167/15.12.280" TargetMode="External" /><Relationship Type="http://schemas.openxmlformats.org/officeDocument/2006/relationships/hyperlink" Id="rId131" Target="https://doi.org/10.1177/1536867X0800700403" TargetMode="External" /><Relationship Type="http://schemas.openxmlformats.org/officeDocument/2006/relationships/hyperlink" Id="rId159" Target="https://doi.org/10.1177/1745691619856350" TargetMode="External" /><Relationship Type="http://schemas.openxmlformats.org/officeDocument/2006/relationships/hyperlink" Id="rId86" Target="https://doi.org/10.1257/aer.91.2.73" TargetMode="External" /><Relationship Type="http://schemas.openxmlformats.org/officeDocument/2006/relationships/hyperlink" Id="rId40" Target="https://doi.org/10.1371/journal.pcbi.1010325" TargetMode="External" /><Relationship Type="http://schemas.openxmlformats.org/officeDocument/2006/relationships/hyperlink" Id="rId165" Target="https://doi.org/10.1371/journal.pone.0210669" TargetMode="External" /><Relationship Type="http://schemas.openxmlformats.org/officeDocument/2006/relationships/hyperlink" Id="rId118" Target="https://doi.org/10.1371/journal.pone.0273118" TargetMode="External" /><Relationship Type="http://schemas.openxmlformats.org/officeDocument/2006/relationships/hyperlink" Id="rId45" Target="https://doi.org/10.2218/jls.v3i1.1522" TargetMode="External" /><Relationship Type="http://schemas.openxmlformats.org/officeDocument/2006/relationships/hyperlink" Id="rId184" Target="https://doi.org/10.2307/2694274" TargetMode="External" /><Relationship Type="http://schemas.openxmlformats.org/officeDocument/2006/relationships/hyperlink" Id="rId59" Target="https://doi.org/10.2307/j.ctv1c29t27" TargetMode="External" /><Relationship Type="http://schemas.openxmlformats.org/officeDocument/2006/relationships/hyperlink" Id="rId111" Target="https://doi.org/10.4207/PA.2014.ART90" TargetMode="External" /><Relationship Type="http://schemas.openxmlformats.org/officeDocument/2006/relationships/hyperlink" Id="rId51" Target="https://doi.org/10.5334/dsj-2020-043" TargetMode="External" /><Relationship Type="http://schemas.openxmlformats.org/officeDocument/2006/relationships/hyperlink" Id="rId155" Target="https://doi.org/10.5334/jcaa.29" TargetMode="External" /><Relationship Type="http://schemas.openxmlformats.org/officeDocument/2006/relationships/hyperlink" Id="rId147" Target="https://ore.exeter.ac.uk/repository/handle/10871/9041" TargetMode="External" /><Relationship Type="http://schemas.openxmlformats.org/officeDocument/2006/relationships/hyperlink" Id="rId38" Target="https://proceedings.neurips.cc/paper/2018/hash/d89a66c7c80a29b1bdbab0f2a1a94af8-Abstract.html" TargetMode="External" /><Relationship Type="http://schemas.openxmlformats.org/officeDocument/2006/relationships/hyperlink" Id="rId180" Target="https://www.frontiersin.org/articles/10.3389/fpsyg.2019.02196" TargetMode="External" /><Relationship Type="http://schemas.openxmlformats.org/officeDocument/2006/relationships/hyperlink" Id="rId150" Target="https://www.jstor.org/stable/20616293" TargetMode="External" /><Relationship Type="http://schemas.openxmlformats.org/officeDocument/2006/relationships/hyperlink" Id="rId144" Target="https://www.jstor.org/stable/27825902" TargetMode="External" /><Relationship Type="http://schemas.openxmlformats.org/officeDocument/2006/relationships/hyperlink" Id="rId135" Target="https://www.jstor.org/stable/40025310" TargetMode="External" /><Relationship Type="http://schemas.openxmlformats.org/officeDocument/2006/relationships/hyperlink" Id="rId21" Target="mailto:raylc1996@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scope of experimental archaeology using the Perception-Process-Product conceptual framework</dc:title>
  <dc:creator>Cheng Liu</dc:creator>
  <cp:keywords/>
  <dcterms:created xsi:type="dcterms:W3CDTF">2023-08-14T21:39:31Z</dcterms:created>
  <dcterms:modified xsi:type="dcterms:W3CDTF">2023-08-14T21:39:31Z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the outline of the Perception-Process-Product (‘Triple P’) conceptual framework that aims to expand the scope of experimental archaeology. The Triple P framework emphasizes the amplification of multi-level variabilty and the identification of causal relationships of variations across the levels of perception, process, and product. Here I propose the following five basic measures to put the Triple P framework into practice: 1) acknowledging the contribution and limitations of actualistic experiments properly; 2) encouraging collaborative projects that involves geographically diverse and non-traditional research participants such as hobbyists and novices; 3) adopting a workflow that normalize the collection and curation of ethological and ethnographic data in experimental projects.   Experimental archaeology; Ethological analysis; Ethnographical analysis; The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2023-08-14</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