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2023-07-06</w:t>
      </w:r>
    </w:p>
    <w:p>
      <w:pPr>
        <w:pStyle w:val="Abstract"/>
      </w:pP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variabilty</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we</w:t>
      </w:r>
      <w:r>
        <w:t xml:space="preserve"> </w:t>
      </w:r>
      <w:r>
        <w:t xml:space="preserve">propose</w:t>
      </w:r>
      <w:r>
        <w:t xml:space="preserve"> </w:t>
      </w:r>
      <w:r>
        <w:t xml:space="preserve">the</w:t>
      </w:r>
      <w:r>
        <w:t xml:space="preserve"> </w:t>
      </w:r>
      <w:r>
        <w:t xml:space="preserve">following</w:t>
      </w:r>
      <w:r>
        <w:t xml:space="preserve"> </w:t>
      </w:r>
      <w:r>
        <w:t xml:space="preserve">five</w:t>
      </w:r>
      <w:r>
        <w:t xml:space="preserve"> </w:t>
      </w:r>
      <w:r>
        <w:t xml:space="preserve">basic</w:t>
      </w:r>
      <w:r>
        <w:t xml:space="preserve"> </w:t>
      </w:r>
      <w:r>
        <w:t xml:space="preserve">measures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the</w:t>
      </w:r>
      <w:r>
        <w:t xml:space="preserve"> </w:t>
      </w:r>
      <w:r>
        <w:t xml:space="preserve">acknowledgement</w:t>
      </w:r>
      <w:r>
        <w:t xml:space="preserve"> </w:t>
      </w:r>
      <w:r>
        <w:t xml:space="preserve">of</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properly;</w:t>
      </w:r>
      <w:r>
        <w:t xml:space="preserve"> </w:t>
      </w:r>
      <w:r>
        <w:t xml:space="preserve">2)</w:t>
      </w:r>
      <w:r>
        <w:t xml:space="preserve"> </w:t>
      </w:r>
      <w:r>
        <w:t xml:space="preserve">the</w:t>
      </w:r>
      <w:r>
        <w:t xml:space="preserve"> </w:t>
      </w:r>
      <w:r>
        <w:t xml:space="preserve">normalization</w:t>
      </w:r>
      <w:r>
        <w:t xml:space="preserve"> </w:t>
      </w:r>
      <w:r>
        <w:t xml:space="preserve">the</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collection</w:t>
      </w:r>
      <w:r>
        <w:t xml:space="preserve"> </w:t>
      </w:r>
      <w:r>
        <w:t xml:space="preserve">in</w:t>
      </w:r>
      <w:r>
        <w:t xml:space="preserve"> </w:t>
      </w:r>
      <w:r>
        <w:t xml:space="preserve">experimental</w:t>
      </w:r>
      <w:r>
        <w:t xml:space="preserve"> </w:t>
      </w:r>
      <w:r>
        <w:t xml:space="preserve">projects;</w:t>
      </w:r>
      <w:r>
        <w:t xml:space="preserve"> </w:t>
      </w:r>
      <w:r>
        <w:t xml:space="preserve">3)</w:t>
      </w:r>
      <w:r>
        <w:t xml:space="preserve"> </w:t>
      </w:r>
      <w:r>
        <w:t xml:space="preserve">the</w:t>
      </w:r>
      <w:r>
        <w:t xml:space="preserve"> </w:t>
      </w:r>
      <w:r>
        <w:t xml:space="preserve">involvement</w:t>
      </w:r>
      <w:r>
        <w:t xml:space="preserve"> </w:t>
      </w:r>
      <w:r>
        <w:t xml:space="preserve">of</w:t>
      </w:r>
      <w:r>
        <w:t xml:space="preserve"> </w:t>
      </w:r>
      <w:r>
        <w:t xml:space="preserve">avocational</w:t>
      </w:r>
      <w:r>
        <w:t xml:space="preserve"> </w:t>
      </w:r>
      <w:r>
        <w:t xml:space="preserve">as</w:t>
      </w:r>
      <w:r>
        <w:t xml:space="preserve"> </w:t>
      </w:r>
      <w:r>
        <w:t xml:space="preserve">well</w:t>
      </w:r>
      <w:r>
        <w:t xml:space="preserve"> </w:t>
      </w:r>
      <w:r>
        <w:t xml:space="preserve">as</w:t>
      </w:r>
      <w:r>
        <w:t xml:space="preserve"> </w:t>
      </w:r>
      <w:r>
        <w:t xml:space="preserve">novice</w:t>
      </w:r>
      <w:r>
        <w:t xml:space="preserve"> </w:t>
      </w:r>
      <w:r>
        <w:t xml:space="preserve">participants;</w:t>
      </w:r>
      <w:r>
        <w:t xml:space="preserve"> </w:t>
      </w:r>
      <w:r>
        <w:t xml:space="preserve">4)</w:t>
      </w:r>
      <w:r>
        <w:t xml:space="preserve"> </w:t>
      </w:r>
      <w:r>
        <w:t xml:space="preserve">the</w:t>
      </w:r>
      <w:r>
        <w:t xml:space="preserve"> </w:t>
      </w:r>
      <w:r>
        <w:t xml:space="preserve">collaboration</w:t>
      </w:r>
      <w:r>
        <w:t xml:space="preserve"> </w:t>
      </w:r>
      <w:r>
        <w:t xml:space="preserve">across</w:t>
      </w:r>
      <w:r>
        <w:t xml:space="preserve"> </w:t>
      </w:r>
      <w:r>
        <w:t xml:space="preserve">labs</w:t>
      </w:r>
      <w:r>
        <w:t xml:space="preserve"> </w:t>
      </w:r>
      <w:r>
        <w:t xml:space="preserve">on</w:t>
      </w:r>
      <w:r>
        <w:t xml:space="preserve"> </w:t>
      </w:r>
      <w:r>
        <w:t xml:space="preserve">a</w:t>
      </w:r>
      <w:r>
        <w:t xml:space="preserve"> </w:t>
      </w:r>
      <w:r>
        <w:t xml:space="preserve">global</w:t>
      </w:r>
      <w:r>
        <w:t xml:space="preserve"> </w:t>
      </w:r>
      <w:r>
        <w:t xml:space="preserve">scale;</w:t>
      </w:r>
      <w:r>
        <w:t xml:space="preserve"> </w:t>
      </w:r>
      <w:r>
        <w:t xml:space="preserve">and</w:t>
      </w:r>
      <w:r>
        <w:t xml:space="preserve"> </w:t>
      </w:r>
      <w:r>
        <w:t xml:space="preserve">5)</w:t>
      </w:r>
      <w:r>
        <w:t xml:space="preserve"> </w:t>
      </w:r>
      <w:r>
        <w:t xml:space="preserve">the</w:t>
      </w:r>
      <w:r>
        <w:t xml:space="preserve"> </w:t>
      </w:r>
      <w:r>
        <w:t xml:space="preserve">development</w:t>
      </w:r>
      <w:r>
        <w:t xml:space="preserve"> </w:t>
      </w:r>
      <w:r>
        <w:t xml:space="preserve">of</w:t>
      </w:r>
      <w:r>
        <w:t xml:space="preserve"> </w:t>
      </w:r>
      <w:r>
        <w:t xml:space="preserve">an</w:t>
      </w:r>
      <w:r>
        <w:t xml:space="preserve"> </w:t>
      </w:r>
      <w:r>
        <w:t xml:space="preserve">open-access</w:t>
      </w:r>
      <w:r>
        <w:t xml:space="preserve"> </w:t>
      </w:r>
      <w:r>
        <w:t xml:space="preserve">repository</w:t>
      </w:r>
      <w:r>
        <w:t xml:space="preserve"> </w:t>
      </w:r>
      <w:r>
        <w:t xml:space="preserve">for</w:t>
      </w:r>
      <w:r>
        <w:t xml:space="preserve"> </w:t>
      </w:r>
      <w:r>
        <w:t xml:space="preserve">data</w:t>
      </w:r>
      <w:r>
        <w:t xml:space="preserve"> </w:t>
      </w:r>
      <w:r>
        <w:t xml:space="preserve">reuse.</w:t>
      </w:r>
      <w:r>
        <w:t xml:space="preserve"> </w:t>
      </w:r>
      <w:r>
        <w:t xml:space="preserve">¶</w:t>
      </w:r>
      <w:r>
        <w:t xml:space="preserve"> </w:t>
      </w:r>
      <w:r>
        <w:t xml:space="preserve"> </w:t>
      </w:r>
      <w:r>
        <w:t xml:space="preserve">¶</w:t>
      </w:r>
      <w:r>
        <w:t xml:space="preserve"> </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The</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which tends to center around the reverse engineering of a past technology in a minimal or least-effort manner while ignoring the rich contextual information it affords. Built upon early intellectual principles and practices in behavioral archaeology</w:t>
      </w:r>
      <w:r>
        <w:t xml:space="preserve"> </w:t>
      </w:r>
      <w:r>
        <w:t xml:space="preserve">(</w:t>
      </w:r>
      <w:hyperlink w:anchor="ref-schiffer2010">
        <w:r>
          <w:rPr>
            <w:rStyle w:val="Hyperlink"/>
          </w:rPr>
          <w:t xml:space="preserve">Schiffer, 2010</w:t>
        </w:r>
      </w:hyperlink>
      <w:r>
        <w:t xml:space="preserve">)</w:t>
      </w:r>
      <w:r>
        <w:t xml:space="preserve">, the Triple P framework aims to</w:t>
      </w:r>
      <w:r>
        <w:t xml:space="preserve"> </w:t>
      </w:r>
      <w:r>
        <w:rPr>
          <w:bCs/>
          <w:b/>
        </w:rPr>
        <w:t xml:space="preserve">a)</w:t>
      </w:r>
      <w:r>
        <w:t xml:space="preserve"> </w:t>
      </w:r>
      <w:r>
        <w:t xml:space="preserve">amplify the expression of variability in experimental replicas (product) and their associated behavioral channels (process) as well as sensory experiences (perception) and</w:t>
      </w:r>
      <w:r>
        <w:t xml:space="preserve"> </w:t>
      </w:r>
      <w:r>
        <w:rPr>
          <w:bCs/>
          <w:b/>
        </w:rPr>
        <w:t xml:space="preserve">b)</w:t>
      </w:r>
      <w:r>
        <w:t xml:space="preserve"> </w:t>
      </w:r>
      <w:r>
        <w:t xml:space="preserve">better identify the complex interacting relationships across these three levels of variations. To accomplish these two objectives, we advocate the following five measures as integral components of the Triple P framework: 1) acknowledging the contribution and limitations of actualistic experiments properly; 2) normalizing the ethological and ethnographic data collection in experimental projects; 3) encouraging the involvements of avocational as well as novice participants; 4) boosting the collaboration across labs on a global scale; 5) building an open-access repository for data reuse. It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artifacts to clarify its meaning and demonstrate the necessity and potential of this framework.</w:t>
      </w:r>
    </w:p>
    <w:bookmarkStart w:id="22" w:name="what-good-is-actualistic-experiment"/>
    <w:p>
      <w:pPr>
        <w:pStyle w:val="Heading1"/>
      </w:pPr>
      <w:r>
        <w:t xml:space="preserve">What good is actualistic experiment?</w:t>
      </w:r>
    </w:p>
    <w:p>
      <w:pPr>
        <w:pStyle w:val="FirstParagraph"/>
      </w:pPr>
      <w:r>
        <w:t xml:space="preserve">In the past decades, experimental archaeology has witnessed growing research interests focusing on the causal mechanism at the behavioral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There is no doubt that controlled experiments conducted on stone artifacts</w:t>
      </w:r>
      <w:r>
        <w:t xml:space="preserve"> </w:t>
      </w:r>
      <w:r>
        <w:t xml:space="preserve">(</w:t>
      </w:r>
      <w:hyperlink w:anchor="ref-li2022">
        <w:r>
          <w:rPr>
            <w:rStyle w:val="Hyperlink"/>
          </w:rPr>
          <w:t xml:space="preserve">Li et al., 2022</w:t>
        </w:r>
      </w:hyperlink>
      <w:r>
        <w:t xml:space="preserve">)</w:t>
      </w:r>
      <w:r>
        <w:t xml:space="preserve">, particularly those regarding fracture mechanics</w:t>
      </w:r>
      <w:r>
        <w:t xml:space="preserve"> </w:t>
      </w:r>
      <w:r>
        <w:t xml:space="preserve">(</w:t>
      </w:r>
      <w:hyperlink w:anchor="ref-cotterell1992">
        <w:r>
          <w:rPr>
            <w:rStyle w:val="Hyperlink"/>
          </w:rPr>
          <w:t xml:space="preserve">Cotterell &amp; Kamminga, 1992</w:t>
        </w:r>
      </w:hyperlink>
      <w:r>
        <w:t xml:space="preserve">)</w:t>
      </w:r>
      <w:r>
        <w:t xml:space="preserve">, provide some foundational and irreplaceable insights into our understanding of the role of lithic technology in prehistory, and unequivocally this line of inquiry should be celebrated and promoted to carry on. Nonetheless, it is oftentimes challenging to directly translate these experimental results into implications of messy human behaviors in the past due to multiple reasons.</w:t>
      </w:r>
    </w:p>
    <w:p>
      <w:pPr>
        <w:pStyle w:val="BodyText"/>
      </w:pPr>
      <w:r>
        <w:t xml:space="preserve">The trade-off between causality (aka</w:t>
      </w:r>
      <w:r>
        <w:t xml:space="preserve"> </w:t>
      </w:r>
      <w:r>
        <w:t xml:space="preserve">“</w:t>
      </w:r>
      <w:r>
        <w:t xml:space="preserve">internal validity</w:t>
      </w:r>
      <w:r>
        <w:t xml:space="preserve">”</w:t>
      </w:r>
      <w:r>
        <w:t xml:space="preserve">) and generalizability (aka</w:t>
      </w:r>
      <w:r>
        <w:t xml:space="preserve"> </w:t>
      </w:r>
      <w:r>
        <w:t xml:space="preserve">“</w:t>
      </w:r>
      <w:r>
        <w:t xml:space="preserve">external validity</w:t>
      </w:r>
      <w:r>
        <w:t xml:space="preserve">”</w:t>
      </w:r>
      <w:r>
        <w:t xml:space="preserve">) forms a central issue in experimental design</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In the context of stone artifact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artifact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is incapable of inferring how context-generic principles interact in a particular context as reflected in real-world conditions. In addition to the applications of machine knapping, the same problem is also incurred by the introduction of standardized artificial material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in experimental studies focusing on the transmission of lithic technologies, which was demonstrated to be problematic</w:t>
      </w:r>
      <w:r>
        <w:t xml:space="preserve"> </w:t>
      </w:r>
      <w:r>
        <w:t xml:space="preserve">(</w:t>
      </w:r>
      <w:hyperlink w:anchor="ref-liu2023">
        <w:r>
          <w:rPr>
            <w:rStyle w:val="Hyperlink"/>
          </w:rPr>
          <w:t xml:space="preserve">Liu et al., 2023</w:t>
        </w:r>
      </w:hyperlink>
      <w:r>
        <w:t xml:space="preserve">)</w:t>
      </w:r>
      <w:r>
        <w:t xml:space="preserve">. In reality, each rock has a different shape and often different physical properties such as inner cracks and inclusions, and this heterogeneity itself represents a critical variable in the process of skill acquisition. After all, these experimental results can only be as robust as their experimental settings.</w:t>
      </w:r>
    </w:p>
    <w:p>
      <w:pPr>
        <w:pStyle w:val="BodyText"/>
      </w:pPr>
      <w:r>
        <w:t xml:space="preserve">More importantly, controlled experiments without randomization are not enough to infer causal mechanisms, which may be severely biased by factors such as individual differences</w:t>
      </w:r>
      <w:r>
        <w:t xml:space="preserve"> </w:t>
      </w:r>
      <w:r>
        <w:t xml:space="preserve">(</w:t>
      </w:r>
      <w:hyperlink w:anchor="ref-pargeter2023">
        <w:r>
          <w:rPr>
            <w:rStyle w:val="Hyperlink"/>
          </w:rPr>
          <w:t xml:space="preserve">Pargeter et al., 2023</w:t>
        </w:r>
      </w:hyperlink>
      <w:r>
        <w:t xml:space="preserve">)</w:t>
      </w:r>
      <w:r>
        <w:t xml:space="preserve">, allocation concealment</w:t>
      </w:r>
      <w:r>
        <w:t xml:space="preserve"> </w:t>
      </w:r>
      <w:r>
        <w:t xml:space="preserve">(</w:t>
      </w:r>
      <w:hyperlink w:anchor="ref-schulz2002">
        <w:r>
          <w:rPr>
            <w:rStyle w:val="Hyperlink"/>
          </w:rPr>
          <w:t xml:space="preserve">Schulz &amp; Grimes, 2002</w:t>
        </w:r>
      </w:hyperlink>
      <w:r>
        <w:t xml:space="preserve">)</w:t>
      </w:r>
      <w:r>
        <w:t xml:space="preserve">, and poor recruitment</w:t>
      </w:r>
      <w:r>
        <w:t xml:space="preserve"> </w:t>
      </w:r>
      <w:r>
        <w:t xml:space="preserve">(</w:t>
      </w:r>
      <w:hyperlink w:anchor="ref-fletcher2012">
        <w:r>
          <w:rPr>
            <w:rStyle w:val="Hyperlink"/>
          </w:rPr>
          <w:t xml:space="preserve">Fletcher et al., 2012</w:t>
        </w:r>
      </w:hyperlink>
      <w:r>
        <w:t xml:space="preserve">)</w:t>
      </w:r>
      <w:r>
        <w:t xml:space="preserve">. Randomized Controlled Trials (RCT)</w:t>
      </w:r>
      <w:r>
        <w:t xml:space="preserve"> </w:t>
      </w:r>
      <w:r>
        <w:rPr>
          <w:iCs/>
          <w:i/>
        </w:rPr>
        <w:t xml:space="preserve">sensu stricto</w:t>
      </w:r>
      <w:r>
        <w:t xml:space="preserve"> </w:t>
      </w:r>
      <w:r>
        <w:t xml:space="preserve">as practiced in contemporary medicine and behavioral sciences, known for its high cost</w:t>
      </w:r>
      <w:r>
        <w:t xml:space="preserve"> </w:t>
      </w:r>
      <w:r>
        <w:t xml:space="preserve">(e.g.,</w:t>
      </w:r>
      <w:r>
        <w:t xml:space="preserve"> </w:t>
      </w:r>
      <w:hyperlink w:anchor="ref-speich2019">
        <w:r>
          <w:rPr>
            <w:rStyle w:val="Hyperlink"/>
          </w:rPr>
          <w:t xml:space="preserve">Speich et al., 2019</w:t>
        </w:r>
      </w:hyperlink>
      <w:r>
        <w:t xml:space="preserve">)</w:t>
      </w:r>
      <w:r>
        <w:t xml:space="preserve">, are extremely rare in experimental archaeology when human participants were involved. Rather, most of our knowledge regarding the past is derived from data sets that can be characterized as Small, Unbalanced, Noisy, but Genuine (SUNG)</w:t>
      </w:r>
      <w:r>
        <w:t xml:space="preserve"> </w:t>
      </w:r>
      <w:r>
        <w:t xml:space="preserve">(</w:t>
      </w:r>
      <w:hyperlink w:anchor="ref-arnaud2023">
        <w:r>
          <w:rPr>
            <w:rStyle w:val="Hyperlink"/>
          </w:rPr>
          <w:t xml:space="preserve">Arnaud et al., 2023</w:t>
        </w:r>
      </w:hyperlink>
      <w:r>
        <w:t xml:space="preserve">)</w:t>
      </w:r>
      <w:r>
        <w:t xml:space="preserve"> </w:t>
      </w:r>
      <w:r>
        <w:t xml:space="preserve">produced through experiments featuring small-sized convenience sample. It has also been a debatable issue whether Randomized Controlled Trial (RCT) represents the gold standard of knowledge in both philosophy of science</w:t>
      </w:r>
      <w:r>
        <w:t xml:space="preserve"> </w:t>
      </w:r>
      <w:r>
        <w:t xml:space="preserve">(</w:t>
      </w:r>
      <w:hyperlink w:anchor="ref-cartwright2007">
        <w:r>
          <w:rPr>
            <w:rStyle w:val="Hyperlink"/>
          </w:rPr>
          <w:t xml:space="preserve">Cartwright, 2007</w:t>
        </w:r>
      </w:hyperlink>
      <w:r>
        <w:t xml:space="preserve">)</w:t>
      </w:r>
      <w:r>
        <w:t xml:space="preserve"> </w:t>
      </w:r>
      <w:r>
        <w:t xml:space="preserve">and econometrics</w:t>
      </w:r>
      <w:r>
        <w:t xml:space="preserve"> </w:t>
      </w:r>
      <w:r>
        <w:t xml:space="preserve">(</w:t>
      </w:r>
      <w:hyperlink w:anchor="ref-deaton2018">
        <w:r>
          <w:rPr>
            <w:rStyle w:val="Hyperlink"/>
          </w:rPr>
          <w:t xml:space="preserve">Deaton &amp; Cartwright, 2018</w:t>
        </w:r>
      </w:hyperlink>
      <w:r>
        <w:t xml:space="preserve">)</w:t>
      </w:r>
      <w:r>
        <w:t xml:space="preserve">.</w:t>
      </w:r>
    </w:p>
    <w:p>
      <w:pPr>
        <w:pStyle w:val="BodyText"/>
      </w:pPr>
      <w:r>
        <w:t xml:space="preserve">On the other hand, actualistic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Interestingly, researchers in cognitive psychology and neuroscience</w:t>
      </w:r>
      <w:r>
        <w:t xml:space="preserve"> </w:t>
      </w:r>
      <w:r>
        <w:t xml:space="preserve">(</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a field known for its development of rigorous and well-controlled experimental methods, have started to use naturalistic stimuli more frequently and advocate a paradigm shift to semi-controlled experiment. Unlike controlled experiments, variability could be easily observed in actualistic experiments by design. This feature is crucial and cannot be simply replaced by ethnographic records, because many paleolithic technological components are not displayed in contemporary non-industrial societies, which usually feature technological systems with groundstone artifacts as the target products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Furthermore, statistical techniques for developing causal inference from observational data, which essentially represent the nature of results from actualistic experiments, have also been greatly boosted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Lastly, actualistic experiment can serve as a heuristic for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t>
      </w:r>
      <w:r>
        <w:t xml:space="preserve">the argument put forth by Ingersoll and MacDonald</w:t>
      </w:r>
      <w:r>
        <w:t xml:space="preserve"> </w:t>
      </w:r>
      <w:r>
        <w:t xml:space="preserve">(</w:t>
      </w:r>
      <w:hyperlink w:anchor="ref-ingersoll1977">
        <w:r>
          <w:rPr>
            <w:rStyle w:val="Hyperlink"/>
          </w:rPr>
          <w:t xml:space="preserve">1977</w:t>
        </w:r>
      </w:hyperlink>
      <w:r>
        <w:t xml:space="preserve">)</w:t>
      </w:r>
      <w:r>
        <w:t xml:space="preserve">, who proposed that the interaction between actualistic and controlled experiment</w:t>
      </w:r>
      <w:r>
        <w:t xml:space="preserve"> </w:t>
      </w:r>
      <w:r>
        <w:t xml:space="preserve">“</w:t>
      </w:r>
      <w:r>
        <w:t xml:space="preserve">operates in a cyclical form of induction and deduction.</w:t>
      </w:r>
      <w:r>
        <w:t xml:space="preserve">”</w:t>
      </w:r>
    </w:p>
    <w:bookmarkEnd w:id="22"/>
    <w:bookmarkStart w:id="29" w:name="X091bc27707b450242ba84ec583df2cbff8ad76c"/>
    <w:p>
      <w:pPr>
        <w:pStyle w:val="Heading1"/>
      </w:pPr>
      <w:r>
        <w:t xml:space="preserve">The ethology and ethnography of stone toolmaking</w:t>
      </w:r>
    </w:p>
    <w:p>
      <w:pPr>
        <w:pStyle w:val="FirstParagraph"/>
      </w:pPr>
      <w:r>
        <w:t xml:space="preserve">As implied in its name, 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that partially contributed to the discipline-wide paradigm shift in the 1980s</w:t>
      </w:r>
      <w:r>
        <w:t xml:space="preserve"> </w:t>
      </w:r>
      <w:r>
        <w:t xml:space="preserve">(</w:t>
      </w:r>
      <w:hyperlink w:anchor="ref-lake2014">
        <w:r>
          <w:rPr>
            <w:rStyle w:val="Hyperlink"/>
          </w:rPr>
          <w:t xml:space="preserve">Lake, 2014</w:t>
        </w:r>
      </w:hyperlink>
      <w:r>
        <w:t xml:space="preserve">: 264-265)</w:t>
      </w:r>
      <w:r>
        <w:t xml:space="preserv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intentionality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w:t>
      </w:r>
      <w:r>
        <w:t xml:space="preserve"> </w:t>
      </w:r>
      <w:r>
        <w:t xml:space="preserve">(</w:t>
      </w:r>
      <w:hyperlink w:anchor="ref-reynolds1999">
        <w:r>
          <w:rPr>
            <w:rStyle w:val="Hyperlink"/>
          </w:rPr>
          <w:t xml:space="preserve">Reynolds, 1999</w:t>
        </w:r>
      </w:hyperlink>
      <w:r>
        <w:t xml:space="preserve">)</w:t>
      </w:r>
      <w:r>
        <w:t xml:space="preserve">. The importance of specifying and documenting the context information of both the experiment as well as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5334000" cy="3067921"/>
            <wp:effectExtent b="0" l="0" r="0" t="0"/>
            <wp:docPr descr="A schematic diagram demonstrating how to operationalize the Perception-Process-Product conceptual framework." title="" id="24" name="Picture"/>
            <a:graphic>
              <a:graphicData uri="http://schemas.openxmlformats.org/drawingml/2006/picture">
                <pic:pic>
                  <pic:nvPicPr>
                    <pic:cNvPr descr="C:/FilesVC/PPP-framework/figure/Fig1.jpg" id="25" name="Picture"/>
                    <pic:cNvPicPr>
                      <a:picLocks noChangeArrowheads="1" noChangeAspect="1"/>
                    </pic:cNvPicPr>
                  </pic:nvPicPr>
                  <pic:blipFill>
                    <a:blip r:embed="rId23"/>
                    <a:stretch>
                      <a:fillRect/>
                    </a:stretch>
                  </pic:blipFill>
                  <pic:spPr bwMode="auto">
                    <a:xfrm>
                      <a:off x="0" y="0"/>
                      <a:ext cx="5334000" cy="3067921"/>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p>
      <w:pPr>
        <w:pStyle w:val="BodyText"/>
      </w:pPr>
      <w:r>
        <w:t xml:space="preserve">While formal ethological methods that are widely used in the description and analysis of non-human animal behavior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fall into oblivion among archaeologists, the attempts of reconstructing behavioral sequences involved in the manufacture of material remains are not infrequent. One such example is cognigram, which was first systematically developed and applied in the archaeological research by Haidle</w:t>
      </w:r>
      <w:r>
        <w:t xml:space="preserve"> </w:t>
      </w:r>
      <w:r>
        <w:t xml:space="preserve">(</w:t>
      </w:r>
      <w:hyperlink w:anchor="ref-haidle2010">
        <w:r>
          <w:rPr>
            <w:rStyle w:val="Hyperlink"/>
          </w:rPr>
          <w:t xml:space="preserve">Miriam N. Haidle, 2010</w:t>
        </w:r>
      </w:hyperlink>
      <w:r>
        <w:t xml:space="preserve">,</w:t>
      </w:r>
      <w:r>
        <w:t xml:space="preserve"> </w:t>
      </w:r>
      <w:hyperlink w:anchor="ref-haidleHowThinkSimple2009">
        <w:r>
          <w:rPr>
            <w:rStyle w:val="Hyperlink"/>
          </w:rPr>
          <w:t xml:space="preserve">2009</w:t>
        </w:r>
      </w:hyperlink>
      <w:r>
        <w:t xml:space="preserve">;</w:t>
      </w:r>
      <w:r>
        <w:t xml:space="preserve"> </w:t>
      </w:r>
      <w:hyperlink w:anchor="ref-haidle2023">
        <w:r>
          <w:rPr>
            <w:rStyle w:val="Hyperlink"/>
          </w:rPr>
          <w:t xml:space="preserve">Miriam Noël Haidle, 2023</w:t>
        </w:r>
      </w:hyperlink>
      <w:r>
        <w:t xml:space="preserve">;</w:t>
      </w:r>
      <w:r>
        <w:t xml:space="preserve"> </w:t>
      </w:r>
      <w:hyperlink w:anchor="ref-lombard2012">
        <w:r>
          <w:rPr>
            <w:rStyle w:val="Hyperlink"/>
          </w:rPr>
          <w:t xml:space="preserve">Lombard &amp; Haidle, 2012</w:t>
        </w:r>
      </w:hyperlink>
      <w:r>
        <w:t xml:space="preserve">)</w:t>
      </w:r>
      <w:r>
        <w:t xml:space="preserve">. Cognigram essentially represents an abstracting process of a series of action sequences achieving a similar goal. This approach is a powerful and elegant yet limited by the curse of expertise</w:t>
      </w:r>
      <w:r>
        <w:t xml:space="preserve"> </w:t>
      </w:r>
      <w:r>
        <w:t xml:space="preserve">(</w:t>
      </w:r>
      <w:hyperlink w:anchor="ref-hinds1999">
        <w:r>
          <w:rPr>
            <w:rStyle w:val="Hyperlink"/>
          </w:rPr>
          <w:t xml:space="preserve">Hinds, 1999</w:t>
        </w:r>
      </w:hyperlink>
      <w:r>
        <w:t xml:space="preserve">)</w:t>
      </w:r>
      <w:r>
        <w:t xml:space="preserve">, meaning it cannot handle variability very well. To some extent, it describes the minimal steps to achieve a goal from the perspective of reverse engineering and assumes clear causal thinking between each step in an idealistic manner, while novices often feature a low planning depth</w:t>
      </w:r>
      <w:r>
        <w:t xml:space="preserve"> </w:t>
      </w:r>
      <w:r>
        <w:t xml:space="preserve">(</w:t>
      </w:r>
      <w:hyperlink w:anchor="ref-vanopheusden2023">
        <w:r>
          <w:rPr>
            <w:rStyle w:val="Hyperlink"/>
          </w:rPr>
          <w:t xml:space="preserve">Opheusden et al., 2023</w:t>
        </w:r>
      </w:hyperlink>
      <w:r>
        <w:t xml:space="preserve">)</w:t>
      </w:r>
      <w:r>
        <w:t xml:space="preserve"> </w:t>
      </w:r>
      <w:r>
        <w:t xml:space="preserve">and a different set of perception on the causal structure of how certain behaviors will modify the raw materials.</w:t>
      </w:r>
    </w:p>
    <w:p>
      <w:pPr>
        <w:pStyle w:val="BodyText"/>
      </w:pPr>
      <w:r>
        <w:t xml:space="preserve">Consequently, we need to accumulate more real-world data by recording a large amount videos of toolmaking and conducting systematical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we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or degrees of coding complexity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Bruce Bradley’s handaxe knapping session using the action grammer and BORIS software." title="" id="27" name="Picture"/>
            <a:graphic>
              <a:graphicData uri="http://schemas.openxmlformats.org/drawingml/2006/picture">
                <pic:pic>
                  <pic:nvPicPr>
                    <pic:cNvPr descr="C:/FilesVC/PPP-framework/figure/Fig2.jpg" id="28" name="Picture"/>
                    <pic:cNvPicPr>
                      <a:picLocks noChangeArrowheads="1" noChangeAspect="1"/>
                    </pic:cNvPicPr>
                  </pic:nvPicPr>
                  <pic:blipFill>
                    <a:blip r:embed="rId26"/>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Bruce Bradley’s handaxe knapping session using the action grammer and BORIS software.</w:t>
      </w:r>
    </w:p>
    <w:p>
      <w:pPr>
        <w:pStyle w:val="TableCaption"/>
      </w:pPr>
      <w:r>
        <w:t xml:space="preserve">A modiefied version of the original action grammer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tblCaption w:val="A modiefied version of the original action grammer presented in (Stout et al., 2021)"/>
      </w:tblPr>
      <w:tblGrid>
        <w:gridCol w:w="841"/>
        <w:gridCol w:w="7078"/>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Often occurs during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w:t>
            </w:r>
          </w:p>
        </w:tc>
      </w:tr>
      <w:tr>
        <w:tc>
          <w:tcPr/>
          <w:p>
            <w:pPr>
              <w:pStyle w:val="Compact"/>
              <w:jc w:val="left"/>
            </w:pPr>
            <w:r>
              <w:t xml:space="preserve">Tool Change</w:t>
            </w:r>
          </w:p>
        </w:tc>
        <w:tc>
          <w:tcPr/>
          <w:p>
            <w:pPr>
              <w:pStyle w:val="Compact"/>
              <w:jc w:val="left"/>
            </w:pPr>
            <w:r>
              <w:t xml:space="preserve">Exchange of one percussor for another</w:t>
            </w:r>
          </w:p>
        </w:tc>
      </w:tr>
    </w:tbl>
    <w:p>
      <w:pPr>
        <w:pStyle w:val="BodyText"/>
      </w:pPr>
      <w:r>
        <w:t xml:space="preserve">Ethnographies revolving around general archaeological practices</w:t>
      </w:r>
      <w:r>
        <w:t xml:space="preserve"> </w:t>
      </w:r>
      <w:r>
        <w:t xml:space="preserve">(</w:t>
      </w:r>
      <w:hyperlink w:anchor="ref-ethnogra2006">
        <w:r>
          <w:rPr>
            <w:rStyle w:val="Hyperlink"/>
          </w:rPr>
          <w:t xml:space="preserve">Edgeworth, 2006</w:t>
        </w:r>
      </w:hyperlink>
      <w:r>
        <w:t xml:space="preserve">)</w:t>
      </w:r>
      <w:r>
        <w:t xml:space="preserve">,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both WEIRD</w:t>
      </w:r>
      <w:r>
        <w:t xml:space="preserve"> </w:t>
      </w:r>
      <w:r>
        <w:t xml:space="preserve">(</w:t>
      </w:r>
      <w:hyperlink w:anchor="ref-whittaker2004">
        <w:r>
          <w:rPr>
            <w:rStyle w:val="Hyperlink"/>
          </w:rPr>
          <w:t xml:space="preserve">John, C. Whittaker, 2004</w:t>
        </w:r>
      </w:hyperlink>
      <w:r>
        <w:t xml:space="preserve">)</w:t>
      </w:r>
      <w:r>
        <w:t xml:space="preserve"> </w:t>
      </w:r>
      <w:r>
        <w:t xml:space="preserve">and non-WEIRD populations</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it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w:t>
      </w:r>
      <w:r>
        <w:t xml:space="preserve"> </w:t>
      </w:r>
      <w:r>
        <w:t xml:space="preserve">(</w:t>
      </w:r>
      <w:hyperlink w:anchor="ref-syed2022">
        <w:r>
          <w:rPr>
            <w:rStyle w:val="Hyperlink"/>
          </w:rPr>
          <w:t xml:space="preserve">Syed &amp; McLean, 2022</w:t>
        </w:r>
      </w:hyperlink>
      <w:r>
        <w:t xml:space="preserve">)</w:t>
      </w:r>
      <w:r>
        <w:t xml:space="preserve">.</w:t>
      </w:r>
    </w:p>
    <w:p>
      <w:pPr>
        <w:pStyle w:val="BodyText"/>
      </w:pPr>
      <w:r>
        <w:t xml:space="preserve">Through participant observation, interviews, and detailed field notes, ethnographers can capture the subtle nuances of perception, such as sensory experiences, social interactions, and cultural meanings associated with the experimental activities. This approach enables researchers to gain a deeper understanding of how people in ancient societies might have perceived and interpreted their environment, objects, and actions.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r>
        <w:t xml:space="preserve"> </w:t>
      </w:r>
      <w:r>
        <w:t xml:space="preserve">.</w:t>
      </w:r>
    </w:p>
    <w:bookmarkEnd w:id="29"/>
    <w:bookmarkStart w:id="30" w:name="the-curse-of-knowledge"/>
    <w:p>
      <w:pPr>
        <w:pStyle w:val="Heading1"/>
      </w:pPr>
      <w:r>
        <w:t xml:space="preserve">The curse of knowledge</w:t>
      </w:r>
    </w:p>
    <w:p>
      <w:pPr>
        <w:pStyle w:val="FirstParagraph"/>
      </w:pPr>
      <w:r>
        <w:t xml:space="preserve">Contemporary practices in experimental archaeology, as manifested by the fact that the majority of scholarly publications are produced as results of experiments conducted by a single knapper with a dual identity of researcher,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The curse of knowledge refers to the phenomenon that it is extremely challenging for experts to ignore the information that is held by them but not others, particularly novices</w:t>
      </w:r>
      <w:r>
        <w:t xml:space="preserve"> </w:t>
      </w:r>
      <w:r>
        <w:t xml:space="preserve">(</w:t>
      </w:r>
      <w:hyperlink w:anchor="ref-camerer1989">
        <w:r>
          <w:rPr>
            <w:rStyle w:val="Hyperlink"/>
          </w:rPr>
          <w:t xml:space="preserve">Camerer et al., 1989</w:t>
        </w:r>
      </w:hyperlink>
      <w:r>
        <w:t xml:space="preserve">;</w:t>
      </w:r>
      <w:r>
        <w:t xml:space="preserve"> </w:t>
      </w:r>
      <w:hyperlink w:anchor="ref-hinds1999">
        <w:r>
          <w:rPr>
            <w:rStyle w:val="Hyperlink"/>
          </w:rPr>
          <w:t xml:space="preserve">Hinds, 1999</w:t>
        </w:r>
      </w:hyperlink>
      <w:r>
        <w:t xml:space="preserve">)</w:t>
      </w:r>
      <w:r>
        <w:t xml:space="preserve">.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The existence of this cognitive bias is not inherently bad, and these many years of experiences should be appreciated and celebrated by experimental archaeologists. However, what is problematic is that the results of replication experiments conducted by these experienced practitioners, often in settings of single knapper, has been constantly framed as grandiose generalization regarding the evolution of technology and cognition that masks a huge range of technological diversity.</w:t>
      </w:r>
    </w:p>
    <w:p>
      <w:pPr>
        <w:pStyle w:val="BodyText"/>
      </w:pPr>
      <w:r>
        <w:t xml:space="preserve">It is essential to recognize that modern flintknapping techniques, as a research subject and a scientific method, originated from hobbyists’ individualistic trials of reverse engineering during the 19th century, rather than from the inter-generational transmission of knapping knowledge spanning millions of years. This historical context is well elucidated by studies on the subject</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reevesflores2010">
        <w:r>
          <w:rPr>
            <w:rStyle w:val="Hyperlink"/>
          </w:rPr>
          <w:t xml:space="preserve">Reeves Flores, 2010</w:t>
        </w:r>
      </w:hyperlink>
      <w:r>
        <w:t xml:space="preserve">;</w:t>
      </w:r>
      <w:r>
        <w:t xml:space="preserve"> </w:t>
      </w:r>
      <w:hyperlink w:anchor="ref-whittaker1994">
        <w:r>
          <w:rPr>
            <w:rStyle w:val="Hyperlink"/>
          </w:rPr>
          <w:t xml:space="preserve">John C. Whittaker, 1994</w:t>
        </w:r>
      </w:hyperlink>
      <w:r>
        <w:t xml:space="preserve">: 54-61)</w:t>
      </w:r>
      <w:r>
        <w:t xml:space="preserve">.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famous 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bookmarkEnd w:id="30"/>
    <w:bookmarkStart w:id="31" w:name="many-places-many-voices"/>
    <w:p>
      <w:pPr>
        <w:pStyle w:val="Heading1"/>
      </w:pPr>
      <w:r>
        <w:t xml:space="preserve">Many places, many voices</w:t>
      </w:r>
    </w:p>
    <w:p>
      <w:pPr>
        <w:pStyle w:val="FirstParagraph"/>
      </w:pPr>
      <w:r>
        <w:t xml:space="preserve">Emphasizing variability at its core, the Triple P conceptual framework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2">
        <w:r>
          <w:rPr>
            <w:rStyle w:val="Hyperlink"/>
          </w:rPr>
          <w:t xml:space="preserve">Timbrell, 2022</w:t>
        </w:r>
      </w:hyperlink>
      <w:r>
        <w:t xml:space="preserve">)</w:t>
      </w:r>
      <w:r>
        <w:t xml:space="preserve"> </w:t>
      </w:r>
      <w:r>
        <w:t xml:space="preserve">of stone artifacts. The Triple P framework recognizes that experimental archaeology can greatly benefit from diverse perspectives and contributions from multiple stakeholders. By engaging researchers, practitioners, and local communities from different geographical locations, the framework acknowledges the importance of including voices from various cultural backgrounds and contexts. This emphasis on collaboration and inclusivity allows for a more nuanced understanding of the complexities of raw material procurement</w:t>
      </w:r>
      <w:r>
        <w:t xml:space="preserve"> </w:t>
      </w:r>
      <w:r>
        <w:t xml:space="preserve">(</w:t>
      </w:r>
      <w:hyperlink w:anchor="ref-batalla2016">
        <w:r>
          <w:rPr>
            <w:rStyle w:val="Hyperlink"/>
          </w:rPr>
          <w:t xml:space="preserve">Batalla, 2016</w:t>
        </w:r>
      </w:hyperlink>
      <w:r>
        <w:t xml:space="preserve">)</w:t>
      </w:r>
      <w:r>
        <w:t xml:space="preserve">,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r>
        <w:t xml:space="preserve">across different regions. Furthermore, the Triple P framework promotes the recognition and value of local knowledge and expertise. It acknowledges that communities living in specific geographical areas possess unique insights and understanding of their cultural heritage. By involving these local communities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w:t>
      </w:r>
    </w:p>
    <w:p>
      <w:pPr>
        <w:pStyle w:val="BodyText"/>
      </w:pPr>
      <w:r>
        <w:t xml:space="preserve">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w:t>
      </w:r>
    </w:p>
    <w:bookmarkEnd w:id="31"/>
    <w:bookmarkStart w:id="32" w:name="open-science-beyond-reproducibility"/>
    <w:p>
      <w:pPr>
        <w:pStyle w:val="Heading1"/>
      </w:pPr>
      <w:r>
        <w:t xml:space="preserve">Open science beyond reproducibility</w:t>
      </w:r>
    </w:p>
    <w:p>
      <w:pPr>
        <w:pStyle w:val="FirstParagraph"/>
      </w:pPr>
      <w:r>
        <w:t xml:space="preserve">The comparative study and large-scale synthesis of variability data require the building of centralized, open-access, and carefully curated data infrastructure</w:t>
      </w:r>
      <w:r>
        <w:t xml:space="preserve"> </w:t>
      </w:r>
      <w:r>
        <w:t xml:space="preserve">(</w:t>
      </w:r>
      <w:hyperlink w:anchor="ref-marwick2017">
        <w:r>
          <w:rPr>
            <w:rStyle w:val="Hyperlink"/>
          </w:rPr>
          <w:t xml:space="preserve">Marwick et al., 2017</w:t>
        </w:r>
      </w:hyperlink>
      <w:r>
        <w:t xml:space="preserve">)</w:t>
      </w:r>
      <w:r>
        <w:t xml:space="preserve">, which unfortunately still does not exist yet in experimental archaeology and likely won’t be available in the near future. Among the three dimensions of the Tripe P framework, the product-level data are usually stored in the format of spreadsheets, photos, and 3D models, and the perception-level data formats mainly include audio files and their transcribed texts, while videos are the main vector of process-level data, featuring the highest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that was originally designed for developmental scientists, as the main data curation platform, where researchers can freely upload video files and related metadata that can connect with different types of data within the same project.</w:t>
      </w:r>
    </w:p>
    <w:p>
      <w:pPr>
        <w:pStyle w:val="BodyText"/>
      </w:pPr>
      <w:r>
        <w:t xml:space="preserve">The accessibility and availability of experimental data foster collaboration and enhance the reproducibility and transparency of research findings, as others can verify and validate the results by examining the original data. More importantly, a centralized database also promotes data preservation and long-term accessibility. By storing experimental data in a structured and organized manner, it safeguards valuable information from potential loss or degradation over time. This preservation ensures that the data remains accessible for future researchers, avoiding the loss of valuable insights and preventing the need for redundant and costly repetitions of experiments. It also allows for the reanalysis of existing data, facilitating discoveries and insights that may not have been initially anticipated. However, it has been widely acknowledged that the reuse of archaeological data has not received enough attention among researchers in our discipline</w:t>
      </w:r>
      <w:r>
        <w:t xml:space="preserve"> </w:t>
      </w:r>
      <w:r>
        <w:t xml:space="preserve">(</w:t>
      </w:r>
      <w:hyperlink w:anchor="ref-faniel2018">
        <w:r>
          <w:rPr>
            <w:rStyle w:val="Hyperlink"/>
          </w:rPr>
          <w:t xml:space="preserve">Faniel et al., 2018</w:t>
        </w:r>
      </w:hyperlink>
      <w:r>
        <w:t xml:space="preserve">;</w:t>
      </w:r>
      <w:r>
        <w:t xml:space="preserve"> </w:t>
      </w:r>
      <w:hyperlink w:anchor="ref-huggett2018">
        <w:r>
          <w:rPr>
            <w:rStyle w:val="Hyperlink"/>
          </w:rPr>
          <w:t xml:space="preserve">Huggett, 2018</w:t>
        </w:r>
      </w:hyperlink>
      <w:r>
        <w:t xml:space="preserve">;</w:t>
      </w:r>
      <w:r>
        <w:t xml:space="preserve"> </w:t>
      </w:r>
      <w:hyperlink w:anchor="ref-moody2021">
        <w:r>
          <w:rPr>
            <w:rStyle w:val="Hyperlink"/>
          </w:rPr>
          <w:t xml:space="preserve">Moody et al., 2021</w:t>
        </w:r>
      </w:hyperlink>
      <w:r>
        <w:t xml:space="preserve">)</w:t>
      </w:r>
      <w:r>
        <w:t xml:space="preserve">. Among many reasons preventing archaeologists from reusing published and digitized data</w:t>
      </w:r>
      <w:r>
        <w:t xml:space="preserve"> </w:t>
      </w:r>
      <w:r>
        <w:t xml:space="preserve">(</w:t>
      </w:r>
      <w:hyperlink w:anchor="ref-sobotkova2018">
        <w:r>
          <w:rPr>
            <w:rStyle w:val="Hyperlink"/>
          </w:rPr>
          <w:t xml:space="preserve">Sobotkova, 2018</w:t>
        </w:r>
      </w:hyperlink>
      <w:r>
        <w:t xml:space="preserve">)</w:t>
      </w:r>
      <w:r>
        <w:t xml:space="preserve">, the lack of a standardized practice of and motivation for data sharing is a prominent one</w:t>
      </w:r>
      <w:r>
        <w:t xml:space="preserve"> </w:t>
      </w:r>
      <w:r>
        <w:t xml:space="preserve">(</w:t>
      </w:r>
      <w:hyperlink w:anchor="ref-marwick2018">
        <w:r>
          <w:rPr>
            <w:rStyle w:val="Hyperlink"/>
          </w:rPr>
          <w:t xml:space="preserve">Marwick &amp; Birch, 2018</w:t>
        </w:r>
      </w:hyperlink>
      <w:r>
        <w:t xml:space="preserve">)</w:t>
      </w:r>
      <w:r>
        <w:t xml:space="preserve">.</w:t>
      </w:r>
    </w:p>
    <w:bookmarkEnd w:id="32"/>
    <w:bookmarkStart w:id="33"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variability. It is also compatible with many theoretical orientations, ranging from behavioral archaeology (emphasis on video recording of behavioral processes) through evolutionary archaeology (emphasis on the amplification of variability)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bookmarkEnd w:id="33"/>
    <w:bookmarkStart w:id="34" w:name="acknowledgements"/>
    <w:p>
      <w:pPr>
        <w:pStyle w:val="Heading1"/>
      </w:pPr>
      <w:r>
        <w:t xml:space="preserve">Acknowledgements</w:t>
      </w:r>
    </w:p>
    <w:p>
      <w:pPr>
        <w:pStyle w:val="FirstParagraph"/>
      </w:pPr>
      <w:r>
        <w:t xml:space="preserve">This study was supported by a research grant from the Leakey Foundation titled</w:t>
      </w:r>
      <w:r>
        <w:t xml:space="preserve"> </w:t>
      </w:r>
      <w:r>
        <w:t xml:space="preserve">“</w:t>
      </w:r>
      <w:r>
        <w:t xml:space="preserve">Inferring skill reproduction from stone artifacts: A middle‐range approach</w:t>
      </w:r>
      <w:r>
        <w:t xml:space="preserve">”</w:t>
      </w:r>
      <w:r>
        <w:t xml:space="preserve"> </w:t>
      </w:r>
      <w:r>
        <w:t xml:space="preserve">(C. L.).</w:t>
      </w:r>
    </w:p>
    <w:bookmarkEnd w:id="34"/>
    <w:bookmarkStart w:id="173" w:name="references"/>
    <w:p>
      <w:pPr>
        <w:pStyle w:val="Heading1"/>
      </w:pPr>
      <w:r>
        <w:t xml:space="preserve">References</w:t>
      </w:r>
    </w:p>
    <w:bookmarkStart w:id="172" w:name="refs"/>
    <w:bookmarkStart w:id="36" w:name="ref-arnaud2023"/>
    <w:p>
      <w:pPr>
        <w:pStyle w:val="Bibliography"/>
      </w:pPr>
      <w:r>
        <w:t xml:space="preserve">Arnaud, V., Pellegrino, F., Keenan, S., St-Gelais, X., Mathevon, N., Levréro, F., &amp; Coupé, C. (2023). Improving the workflow to crack Small, Unbalanced, Noisy, but Genuine (SUNG) datasets in bioacoustics: The case of bonobo calls.</w:t>
      </w:r>
      <w:r>
        <w:t xml:space="preserve"> </w:t>
      </w:r>
      <w:r>
        <w:rPr>
          <w:iCs/>
          <w:i/>
        </w:rPr>
        <w:t xml:space="preserve">PLOS Computational Biology</w:t>
      </w:r>
      <w:r>
        <w:t xml:space="preserve">,</w:t>
      </w:r>
      <w:r>
        <w:t xml:space="preserve"> </w:t>
      </w:r>
      <w:r>
        <w:rPr>
          <w:iCs/>
          <w:i/>
        </w:rPr>
        <w:t xml:space="preserve">19</w:t>
      </w:r>
      <w:r>
        <w:t xml:space="preserve">(4), e1010325.</w:t>
      </w:r>
      <w:r>
        <w:t xml:space="preserve"> </w:t>
      </w:r>
      <w:hyperlink r:id="rId35">
        <w:r>
          <w:rPr>
            <w:rStyle w:val="Hyperlink"/>
          </w:rPr>
          <w:t xml:space="preserve">https://doi.org/10.1371/journal.pcbi.1010325</w:t>
        </w:r>
      </w:hyperlink>
    </w:p>
    <w:bookmarkEnd w:id="36"/>
    <w:bookmarkStart w:id="37"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37"/>
    <w:bookmarkStart w:id="39"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38">
        <w:r>
          <w:rPr>
            <w:rStyle w:val="Hyperlink"/>
          </w:rPr>
          <w:t xml:space="preserve">https://doi.org/10.1017/S0959774320000347</w:t>
        </w:r>
      </w:hyperlink>
    </w:p>
    <w:bookmarkEnd w:id="39"/>
    <w:bookmarkStart w:id="41"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0">
        <w:r>
          <w:rPr>
            <w:rStyle w:val="Hyperlink"/>
          </w:rPr>
          <w:t xml:space="preserve">https://doi.org/10.2218/jls.v3i1.1522</w:t>
        </w:r>
      </w:hyperlink>
    </w:p>
    <w:bookmarkEnd w:id="41"/>
    <w:bookmarkStart w:id="43" w:name="ref-camerer1989"/>
    <w:p>
      <w:pPr>
        <w:pStyle w:val="Bibliography"/>
      </w:pPr>
      <w:r>
        <w:t xml:space="preserve">Camerer, C., Loewenstein, G., &amp; Weber, M. (1989). The curse of knowledge in economic settings: An experimental analysis.</w:t>
      </w:r>
      <w:r>
        <w:t xml:space="preserve"> </w:t>
      </w:r>
      <w:r>
        <w:rPr>
          <w:iCs/>
          <w:i/>
        </w:rPr>
        <w:t xml:space="preserve">Journal of Political Economy</w:t>
      </w:r>
      <w:r>
        <w:t xml:space="preserve">,</w:t>
      </w:r>
      <w:r>
        <w:t xml:space="preserve"> </w:t>
      </w:r>
      <w:r>
        <w:rPr>
          <w:iCs/>
          <w:i/>
        </w:rPr>
        <w:t xml:space="preserve">97</w:t>
      </w:r>
      <w:r>
        <w:t xml:space="preserve">(5), 1232–1254.</w:t>
      </w:r>
      <w:r>
        <w:t xml:space="preserve"> </w:t>
      </w:r>
      <w:hyperlink r:id="rId42">
        <w:r>
          <w:rPr>
            <w:rStyle w:val="Hyperlink"/>
          </w:rPr>
          <w:t xml:space="preserve">https://doi.org/10.1086/261651</w:t>
        </w:r>
      </w:hyperlink>
    </w:p>
    <w:bookmarkEnd w:id="43"/>
    <w:bookmarkStart w:id="45"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44">
        <w:r>
          <w:rPr>
            <w:rStyle w:val="Hyperlink"/>
          </w:rPr>
          <w:t xml:space="preserve">https://doi.org/10.5334/dsj-2020-043</w:t>
        </w:r>
      </w:hyperlink>
    </w:p>
    <w:bookmarkEnd w:id="45"/>
    <w:bookmarkStart w:id="47" w:name="ref-cartwright2007"/>
    <w:p>
      <w:pPr>
        <w:pStyle w:val="Bibliography"/>
      </w:pPr>
      <w:r>
        <w:t xml:space="preserve">Cartwright, N. (2007). Are RCTs the Gold Standard?</w:t>
      </w:r>
      <w:r>
        <w:t xml:space="preserve"> </w:t>
      </w:r>
      <w:r>
        <w:rPr>
          <w:iCs/>
          <w:i/>
        </w:rPr>
        <w:t xml:space="preserve">BioSocieties</w:t>
      </w:r>
      <w:r>
        <w:t xml:space="preserve">,</w:t>
      </w:r>
      <w:r>
        <w:t xml:space="preserve"> </w:t>
      </w:r>
      <w:r>
        <w:rPr>
          <w:iCs/>
          <w:i/>
        </w:rPr>
        <w:t xml:space="preserve">2</w:t>
      </w:r>
      <w:r>
        <w:t xml:space="preserve">(1), 11–20.</w:t>
      </w:r>
      <w:r>
        <w:t xml:space="preserve"> </w:t>
      </w:r>
      <w:hyperlink r:id="rId46">
        <w:r>
          <w:rPr>
            <w:rStyle w:val="Hyperlink"/>
          </w:rPr>
          <w:t xml:space="preserve">https://doi.org/10.1017/S1745855207005029</w:t>
        </w:r>
      </w:hyperlink>
    </w:p>
    <w:bookmarkEnd w:id="47"/>
    <w:bookmarkStart w:id="48" w:name="ref-coles1979"/>
    <w:p>
      <w:pPr>
        <w:pStyle w:val="Bibliography"/>
      </w:pPr>
      <w:r>
        <w:t xml:space="preserve">Coles, J. M. (1979).</w:t>
      </w:r>
      <w:r>
        <w:t xml:space="preserve"> </w:t>
      </w:r>
      <w:r>
        <w:rPr>
          <w:iCs/>
          <w:i/>
        </w:rPr>
        <w:t xml:space="preserve">Experimental archaeology</w:t>
      </w:r>
      <w:r>
        <w:t xml:space="preserve">. Academic Press.</w:t>
      </w:r>
    </w:p>
    <w:bookmarkEnd w:id="48"/>
    <w:bookmarkStart w:id="49" w:name="ref-cotterell1992"/>
    <w:p>
      <w:pPr>
        <w:pStyle w:val="Bibliography"/>
      </w:pPr>
      <w:r>
        <w:t xml:space="preserve">Cotterell, B., &amp; Kamminga, J. (1992).</w:t>
      </w:r>
      <w:r>
        <w:t xml:space="preserve"> </w:t>
      </w:r>
      <w:r>
        <w:rPr>
          <w:iCs/>
          <w:i/>
        </w:rPr>
        <w:t xml:space="preserve">Mechanics of pre-industrial technology: An introduction to the mechanics of ancient and traditional material culture</w:t>
      </w:r>
      <w:r>
        <w:t xml:space="preserve">. Cambridge University Press.</w:t>
      </w:r>
    </w:p>
    <w:bookmarkEnd w:id="49"/>
    <w:bookmarkStart w:id="50"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0"/>
    <w:bookmarkStart w:id="52"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51">
        <w:r>
          <w:rPr>
            <w:rStyle w:val="Hyperlink"/>
          </w:rPr>
          <w:t xml:space="preserve">https://doi.org/10.1080/01977261.2019.1587255</w:t>
        </w:r>
      </w:hyperlink>
    </w:p>
    <w:bookmarkEnd w:id="52"/>
    <w:bookmarkStart w:id="54"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53">
        <w:r>
          <w:rPr>
            <w:rStyle w:val="Hyperlink"/>
          </w:rPr>
          <w:t xml:space="preserve">https://doi.org/10.2307/j.ctv1c29t27</w:t>
        </w:r>
      </w:hyperlink>
    </w:p>
    <w:bookmarkEnd w:id="54"/>
    <w:bookmarkStart w:id="56" w:name="ref-deaton2018"/>
    <w:p>
      <w:pPr>
        <w:pStyle w:val="Bibliography"/>
      </w:pPr>
      <w:r>
        <w:t xml:space="preserve">Deaton, A., &amp; Cartwright, N. (2018). Understanding and misunderstanding randomized controlled trials.</w:t>
      </w:r>
      <w:r>
        <w:t xml:space="preserve"> </w:t>
      </w:r>
      <w:r>
        <w:rPr>
          <w:iCs/>
          <w:i/>
        </w:rPr>
        <w:t xml:space="preserve">Social Science &amp; Medicine</w:t>
      </w:r>
      <w:r>
        <w:t xml:space="preserve">,</w:t>
      </w:r>
      <w:r>
        <w:t xml:space="preserve"> </w:t>
      </w:r>
      <w:r>
        <w:rPr>
          <w:iCs/>
          <w:i/>
        </w:rPr>
        <w:t xml:space="preserve">210</w:t>
      </w:r>
      <w:r>
        <w:t xml:space="preserve">, 2–21.</w:t>
      </w:r>
      <w:r>
        <w:t xml:space="preserve"> </w:t>
      </w:r>
      <w:hyperlink r:id="rId55">
        <w:r>
          <w:rPr>
            <w:rStyle w:val="Hyperlink"/>
          </w:rPr>
          <w:t xml:space="preserve">https://doi.org/10.1016/j.socscimed.2017.12.005</w:t>
        </w:r>
      </w:hyperlink>
    </w:p>
    <w:bookmarkEnd w:id="56"/>
    <w:bookmarkStart w:id="58"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57">
        <w:r>
          <w:rPr>
            <w:rStyle w:val="Hyperlink"/>
          </w:rPr>
          <w:t xml:space="preserve">https://doi.org/10.1007/s10437-020-09404-8</w:t>
        </w:r>
      </w:hyperlink>
    </w:p>
    <w:bookmarkEnd w:id="58"/>
    <w:bookmarkStart w:id="59" w:name="ref-ethnogra2006"/>
    <w:p>
      <w:pPr>
        <w:pStyle w:val="Bibliography"/>
      </w:pPr>
      <w:r>
        <w:t xml:space="preserve">Edgeworth, M. (Ed.). (2006).</w:t>
      </w:r>
      <w:r>
        <w:t xml:space="preserve"> </w:t>
      </w:r>
      <w:r>
        <w:rPr>
          <w:iCs/>
          <w:i/>
        </w:rPr>
        <w:t xml:space="preserve">Ethnographies of archaeological practice: Cultural encounters, material transformations</w:t>
      </w:r>
      <w:r>
        <w:t xml:space="preserve">. AltaMira Press.</w:t>
      </w:r>
    </w:p>
    <w:bookmarkEnd w:id="59"/>
    <w:bookmarkStart w:id="61"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60">
        <w:r>
          <w:rPr>
            <w:rStyle w:val="Hyperlink"/>
          </w:rPr>
          <w:t xml:space="preserve">https://doi.org/10.1080/19442890.2016.1213972</w:t>
        </w:r>
      </w:hyperlink>
    </w:p>
    <w:bookmarkEnd w:id="61"/>
    <w:bookmarkStart w:id="63" w:name="ref-faniel2018"/>
    <w:p>
      <w:pPr>
        <w:pStyle w:val="Bibliography"/>
      </w:pPr>
      <w:r>
        <w:t xml:space="preserve">Faniel, I. M., Austin, A., Kansa, E., Kansa, S. W., France, P., Jacobs, J., Boytner, R., &amp; Yakel, E. (2018). Beyond the Archive: Bridging Data Creation and Reuse in Archaeology.</w:t>
      </w:r>
      <w:r>
        <w:t xml:space="preserve"> </w:t>
      </w:r>
      <w:r>
        <w:rPr>
          <w:iCs/>
          <w:i/>
        </w:rPr>
        <w:t xml:space="preserve">Advances in Archaeological Practice</w:t>
      </w:r>
      <w:r>
        <w:t xml:space="preserve">,</w:t>
      </w:r>
      <w:r>
        <w:t xml:space="preserve"> </w:t>
      </w:r>
      <w:r>
        <w:rPr>
          <w:iCs/>
          <w:i/>
        </w:rPr>
        <w:t xml:space="preserve">6</w:t>
      </w:r>
      <w:r>
        <w:t xml:space="preserve">(2), 105–116.</w:t>
      </w:r>
      <w:r>
        <w:t xml:space="preserve"> </w:t>
      </w:r>
      <w:hyperlink r:id="rId62">
        <w:r>
          <w:rPr>
            <w:rStyle w:val="Hyperlink"/>
          </w:rPr>
          <w:t xml:space="preserve">https://doi.org/10.1017/aap.2018.2</w:t>
        </w:r>
      </w:hyperlink>
    </w:p>
    <w:bookmarkEnd w:id="63"/>
    <w:bookmarkStart w:id="65"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64">
        <w:r>
          <w:rPr>
            <w:rStyle w:val="Hyperlink"/>
          </w:rPr>
          <w:t xml:space="preserve">https://doi.org/10.1146/annurev.an.13.100184.001155</w:t>
        </w:r>
      </w:hyperlink>
    </w:p>
    <w:bookmarkEnd w:id="65"/>
    <w:bookmarkStart w:id="67" w:name="ref-fletcher2012"/>
    <w:p>
      <w:pPr>
        <w:pStyle w:val="Bibliography"/>
      </w:pPr>
      <w:r>
        <w:t xml:space="preserve">Fletcher, B., Gheorghe, A., Moore, D., Wilson, S., &amp; Damery, S. (2012). Improving the recruitment activity of clinicians in randomised controlled trials: a systematic review.</w:t>
      </w:r>
      <w:r>
        <w:t xml:space="preserve"> </w:t>
      </w:r>
      <w:r>
        <w:rPr>
          <w:iCs/>
          <w:i/>
        </w:rPr>
        <w:t xml:space="preserve">BMJ Open</w:t>
      </w:r>
      <w:r>
        <w:t xml:space="preserve">,</w:t>
      </w:r>
      <w:r>
        <w:t xml:space="preserve"> </w:t>
      </w:r>
      <w:r>
        <w:rPr>
          <w:iCs/>
          <w:i/>
        </w:rPr>
        <w:t xml:space="preserve">2</w:t>
      </w:r>
      <w:r>
        <w:t xml:space="preserve">(1), e000496.</w:t>
      </w:r>
      <w:r>
        <w:t xml:space="preserve"> </w:t>
      </w:r>
      <w:hyperlink r:id="rId66">
        <w:r>
          <w:rPr>
            <w:rStyle w:val="Hyperlink"/>
          </w:rPr>
          <w:t xml:space="preserve">https://doi.org/10.1136/bmjopen-2011-000496</w:t>
        </w:r>
      </w:hyperlink>
    </w:p>
    <w:bookmarkEnd w:id="67"/>
    <w:bookmarkStart w:id="69"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68">
        <w:r>
          <w:rPr>
            <w:rStyle w:val="Hyperlink"/>
          </w:rPr>
          <w:t xml:space="preserve">https://doi.org/10.1016/bs.asb.2018.01.001</w:t>
        </w:r>
      </w:hyperlink>
    </w:p>
    <w:bookmarkEnd w:id="69"/>
    <w:bookmarkStart w:id="71"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70">
        <w:r>
          <w:rPr>
            <w:rStyle w:val="Hyperlink"/>
          </w:rPr>
          <w:t xml:space="preserve">https://doi.org/10.1111/2041-210X.12584</w:t>
        </w:r>
      </w:hyperlink>
    </w:p>
    <w:bookmarkEnd w:id="71"/>
    <w:bookmarkStart w:id="73"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72">
        <w:r>
          <w:rPr>
            <w:rStyle w:val="Hyperlink"/>
          </w:rPr>
          <w:t xml:space="preserve">https://doi.org/10.1167/15.12.280</w:t>
        </w:r>
      </w:hyperlink>
    </w:p>
    <w:bookmarkEnd w:id="73"/>
    <w:bookmarkStart w:id="74"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74"/>
    <w:bookmarkStart w:id="76" w:name="ref-haidle2010"/>
    <w:p>
      <w:pPr>
        <w:pStyle w:val="Bibliography"/>
      </w:pPr>
      <w:r>
        <w:t xml:space="preserve">Haidle, Miriam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75">
        <w:r>
          <w:rPr>
            <w:rStyle w:val="Hyperlink"/>
          </w:rPr>
          <w:t xml:space="preserve">https://doi.org/10.1086/650295</w:t>
        </w:r>
      </w:hyperlink>
    </w:p>
    <w:bookmarkEnd w:id="76"/>
    <w:bookmarkStart w:id="77" w:name="ref-haidleHowThinkSimple2009"/>
    <w:p>
      <w:pPr>
        <w:pStyle w:val="Bibliography"/>
      </w:pPr>
      <w:r>
        <w:t xml:space="preserve">Haidle, Miriam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77"/>
    <w:bookmarkStart w:id="79" w:name="ref-haidle2023"/>
    <w:p>
      <w:pPr>
        <w:pStyle w:val="Bibliography"/>
      </w:pPr>
      <w:r>
        <w:t xml:space="preserve">Haidle, Miriam Noël.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78">
        <w:r>
          <w:rPr>
            <w:rStyle w:val="Hyperlink"/>
          </w:rPr>
          <w:t xml:space="preserve">https://doi.org/10.1093/oxfordhb/9780192895950.013.12</w:t>
        </w:r>
      </w:hyperlink>
    </w:p>
    <w:bookmarkEnd w:id="79"/>
    <w:bookmarkStart w:id="80" w:name="ref-hernan2023"/>
    <w:p>
      <w:pPr>
        <w:pStyle w:val="Bibliography"/>
      </w:pPr>
      <w:r>
        <w:t xml:space="preserve">Hernan, M. A., &amp; Robins, J. M. (2023).</w:t>
      </w:r>
      <w:r>
        <w:t xml:space="preserve"> </w:t>
      </w:r>
      <w:r>
        <w:rPr>
          <w:iCs/>
          <w:i/>
        </w:rPr>
        <w:t xml:space="preserve">Causal inference: What if</w:t>
      </w:r>
      <w:r>
        <w:t xml:space="preserve">. CRC Press.</w:t>
      </w:r>
    </w:p>
    <w:bookmarkEnd w:id="80"/>
    <w:bookmarkStart w:id="82"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81">
        <w:r>
          <w:rPr>
            <w:rStyle w:val="Hyperlink"/>
          </w:rPr>
          <w:t xml:space="preserve">https://doi.org/10.1037/1076-898X.5.2.205</w:t>
        </w:r>
      </w:hyperlink>
    </w:p>
    <w:bookmarkEnd w:id="82"/>
    <w:bookmarkStart w:id="84"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83">
        <w:r>
          <w:rPr>
            <w:rStyle w:val="Hyperlink"/>
          </w:rPr>
          <w:t xml:space="preserve">https://doi.org/10.1017/S0959774304230050</w:t>
        </w:r>
      </w:hyperlink>
    </w:p>
    <w:bookmarkEnd w:id="84"/>
    <w:bookmarkStart w:id="85"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85"/>
    <w:bookmarkStart w:id="87" w:name="ref-huggett2018"/>
    <w:p>
      <w:pPr>
        <w:pStyle w:val="Bibliography"/>
      </w:pPr>
      <w:r>
        <w:t xml:space="preserve">Huggett, J. (2018). Reuse Remix Recycle: Repurposing Archaeological Digital Data.</w:t>
      </w:r>
      <w:r>
        <w:t xml:space="preserve"> </w:t>
      </w:r>
      <w:r>
        <w:rPr>
          <w:iCs/>
          <w:i/>
        </w:rPr>
        <w:t xml:space="preserve">Advances in Archaeological Practice</w:t>
      </w:r>
      <w:r>
        <w:t xml:space="preserve">,</w:t>
      </w:r>
      <w:r>
        <w:t xml:space="preserve"> </w:t>
      </w:r>
      <w:r>
        <w:rPr>
          <w:iCs/>
          <w:i/>
        </w:rPr>
        <w:t xml:space="preserve">6</w:t>
      </w:r>
      <w:r>
        <w:t xml:space="preserve">(2), 93–104.</w:t>
      </w:r>
      <w:r>
        <w:t xml:space="preserve"> </w:t>
      </w:r>
      <w:hyperlink r:id="rId86">
        <w:r>
          <w:rPr>
            <w:rStyle w:val="Hyperlink"/>
          </w:rPr>
          <w:t xml:space="preserve">https://doi.org/10.1017/aap.2018.1</w:t>
        </w:r>
      </w:hyperlink>
    </w:p>
    <w:bookmarkEnd w:id="87"/>
    <w:bookmarkStart w:id="88" w:name="ref-ingersoll1977"/>
    <w:p>
      <w:pPr>
        <w:pStyle w:val="Bibliography"/>
      </w:pPr>
      <w:r>
        <w:t xml:space="preserve">Ingersoll, D., &amp; MacDonald, W. (1977).</w:t>
      </w:r>
      <w:r>
        <w:t xml:space="preserve"> </w:t>
      </w:r>
      <w:r>
        <w:rPr>
          <w:iCs/>
          <w:i/>
        </w:rPr>
        <w:t xml:space="preserve">Introduction</w:t>
      </w:r>
      <w:r>
        <w:t xml:space="preserve"> </w:t>
      </w:r>
      <w:r>
        <w:t xml:space="preserve">(D. Ingersoll, J. E. Yellen, &amp; W. MacDonald, Eds.; p. xixvii). Columbia University Press.</w:t>
      </w:r>
    </w:p>
    <w:bookmarkEnd w:id="88"/>
    <w:bookmarkStart w:id="90"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89">
        <w:r>
          <w:rPr>
            <w:rStyle w:val="Hyperlink"/>
          </w:rPr>
          <w:t xml:space="preserve">https://doi.org/10.1086/202078</w:t>
        </w:r>
      </w:hyperlink>
    </w:p>
    <w:bookmarkEnd w:id="90"/>
    <w:bookmarkStart w:id="92" w:name="ref-lake2014"/>
    <w:p>
      <w:pPr>
        <w:pStyle w:val="Bibliography"/>
      </w:pPr>
      <w:r>
        <w:t xml:space="preserve">Lake, M. W. (2014). Trends in Archaeological Simulation.</w:t>
      </w:r>
      <w:r>
        <w:t xml:space="preserve"> </w:t>
      </w:r>
      <w:r>
        <w:rPr>
          <w:iCs/>
          <w:i/>
        </w:rPr>
        <w:t xml:space="preserve">Journal of Archaeological Method and Theory</w:t>
      </w:r>
      <w:r>
        <w:t xml:space="preserve">,</w:t>
      </w:r>
      <w:r>
        <w:t xml:space="preserve"> </w:t>
      </w:r>
      <w:r>
        <w:rPr>
          <w:iCs/>
          <w:i/>
        </w:rPr>
        <w:t xml:space="preserve">21</w:t>
      </w:r>
      <w:r>
        <w:t xml:space="preserve">(2), 258–287.</w:t>
      </w:r>
      <w:r>
        <w:t xml:space="preserve"> </w:t>
      </w:r>
      <w:hyperlink r:id="rId91">
        <w:r>
          <w:rPr>
            <w:rStyle w:val="Hyperlink"/>
          </w:rPr>
          <w:t xml:space="preserve">https://doi.org/10.1007/s10816-013-9188-1</w:t>
        </w:r>
      </w:hyperlink>
    </w:p>
    <w:bookmarkEnd w:id="92"/>
    <w:bookmarkStart w:id="94"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93">
        <w:r>
          <w:rPr>
            <w:rStyle w:val="Hyperlink"/>
          </w:rPr>
          <w:t xml:space="preserve">https://doi.org/10.1007/s10816-022-09586-2</w:t>
        </w:r>
      </w:hyperlink>
    </w:p>
    <w:bookmarkEnd w:id="94"/>
    <w:bookmarkStart w:id="96"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95">
        <w:r>
          <w:rPr>
            <w:rStyle w:val="Hyperlink"/>
          </w:rPr>
          <w:t xml:space="preserve">https://doi.org/10.1007/s10816-017-9351-1</w:t>
        </w:r>
      </w:hyperlink>
    </w:p>
    <w:bookmarkEnd w:id="96"/>
    <w:bookmarkStart w:id="98"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97">
        <w:r>
          <w:rPr>
            <w:rStyle w:val="Hyperlink"/>
          </w:rPr>
          <w:t xml:space="preserve">https://doi.org/10.1016/j.jasrep.2023.103974</w:t>
        </w:r>
      </w:hyperlink>
    </w:p>
    <w:bookmarkEnd w:id="98"/>
    <w:bookmarkStart w:id="100"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99">
        <w:r>
          <w:rPr>
            <w:rStyle w:val="Hyperlink"/>
          </w:rPr>
          <w:t xml:space="preserve">https://doi.org/10.1002/evan.21964</w:t>
        </w:r>
      </w:hyperlink>
    </w:p>
    <w:bookmarkEnd w:id="100"/>
    <w:bookmarkStart w:id="102"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01">
        <w:r>
          <w:rPr>
            <w:rStyle w:val="Hyperlink"/>
          </w:rPr>
          <w:t xml:space="preserve">https://doi.org/10.1038/s41598-017-14322-y</w:t>
        </w:r>
      </w:hyperlink>
    </w:p>
    <w:bookmarkEnd w:id="102"/>
    <w:bookmarkStart w:id="104" w:name="ref-lombard2012"/>
    <w:p>
      <w:pPr>
        <w:pStyle w:val="Bibliography"/>
      </w:pPr>
      <w:r>
        <w:t xml:space="preserve">Lombard, M., &amp; Haidle, M. N. (2012). Thinking a Bow-and-arrow Set: Cognitive Implications of Middle Stone Age Bow and Stone-tipped Arrow Technology.</w:t>
      </w:r>
      <w:r>
        <w:t xml:space="preserve"> </w:t>
      </w:r>
      <w:r>
        <w:rPr>
          <w:iCs/>
          <w:i/>
        </w:rPr>
        <w:t xml:space="preserve">Cambridge Archaeological Journal</w:t>
      </w:r>
      <w:r>
        <w:t xml:space="preserve">,</w:t>
      </w:r>
      <w:r>
        <w:t xml:space="preserve"> </w:t>
      </w:r>
      <w:r>
        <w:rPr>
          <w:iCs/>
          <w:i/>
        </w:rPr>
        <w:t xml:space="preserve">22</w:t>
      </w:r>
      <w:r>
        <w:t xml:space="preserve">(2), 237–264.</w:t>
      </w:r>
      <w:r>
        <w:t xml:space="preserve"> </w:t>
      </w:r>
      <w:hyperlink r:id="rId103">
        <w:r>
          <w:rPr>
            <w:rStyle w:val="Hyperlink"/>
          </w:rPr>
          <w:t xml:space="preserve">https://doi.org/10.1017/S095977431200025X</w:t>
        </w:r>
      </w:hyperlink>
    </w:p>
    <w:bookmarkEnd w:id="104"/>
    <w:bookmarkStart w:id="106"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05">
        <w:r>
          <w:rPr>
            <w:rStyle w:val="Hyperlink"/>
          </w:rPr>
          <w:t xml:space="preserve">https://doi.org/10.4207/PA.2014.ART90</w:t>
        </w:r>
      </w:hyperlink>
    </w:p>
    <w:bookmarkEnd w:id="106"/>
    <w:bookmarkStart w:id="107"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07"/>
    <w:bookmarkStart w:id="109"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08">
        <w:r>
          <w:rPr>
            <w:rStyle w:val="Hyperlink"/>
          </w:rPr>
          <w:t xml:space="preserve">https://doi.org/10.1016/j.quascirev.2020.106431</w:t>
        </w:r>
      </w:hyperlink>
    </w:p>
    <w:bookmarkEnd w:id="109"/>
    <w:bookmarkStart w:id="111"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10">
        <w:r>
          <w:rPr>
            <w:rStyle w:val="Hyperlink"/>
          </w:rPr>
          <w:t xml:space="preserve">https://doi.org/10.1080/0043824022000007062</w:t>
        </w:r>
      </w:hyperlink>
    </w:p>
    <w:bookmarkEnd w:id="111"/>
    <w:bookmarkStart w:id="113"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12">
        <w:r>
          <w:rPr>
            <w:rStyle w:val="Hyperlink"/>
          </w:rPr>
          <w:t xml:space="preserve">https://doi.org/10.1371/journal.pone.0273118</w:t>
        </w:r>
      </w:hyperlink>
    </w:p>
    <w:bookmarkEnd w:id="113"/>
    <w:bookmarkStart w:id="115" w:name="ref-marwick2018"/>
    <w:p>
      <w:pPr>
        <w:pStyle w:val="Bibliography"/>
      </w:pPr>
      <w:r>
        <w:t xml:space="preserve">Marwick, B., &amp; Birch, S. E. P. (2018). A Standard for the Scholarly Citation of Archaeological Data as an Incentive to Data Sharing.</w:t>
      </w:r>
      <w:r>
        <w:t xml:space="preserve"> </w:t>
      </w:r>
      <w:r>
        <w:rPr>
          <w:iCs/>
          <w:i/>
        </w:rPr>
        <w:t xml:space="preserve">Advances in Archaeological Practice</w:t>
      </w:r>
      <w:r>
        <w:t xml:space="preserve">,</w:t>
      </w:r>
      <w:r>
        <w:t xml:space="preserve"> </w:t>
      </w:r>
      <w:r>
        <w:rPr>
          <w:iCs/>
          <w:i/>
        </w:rPr>
        <w:t xml:space="preserve">6</w:t>
      </w:r>
      <w:r>
        <w:t xml:space="preserve">(2), 125–143.</w:t>
      </w:r>
      <w:r>
        <w:t xml:space="preserve"> </w:t>
      </w:r>
      <w:hyperlink r:id="rId114">
        <w:r>
          <w:rPr>
            <w:rStyle w:val="Hyperlink"/>
          </w:rPr>
          <w:t xml:space="preserve">https://doi.org/10.1017/aap.2018.3</w:t>
        </w:r>
      </w:hyperlink>
    </w:p>
    <w:bookmarkEnd w:id="115"/>
    <w:bookmarkStart w:id="117" w:name="ref-marwick2017"/>
    <w:p>
      <w:pPr>
        <w:pStyle w:val="Bibliography"/>
      </w:pPr>
      <w:r>
        <w:t xml:space="preserve">Marwick, B., d’Alpoim Guedes, J., Barton, C. M., Bates, L. A., Baxter, M., Bevan, A., Bollwerk, E. A., Bocinsky, R. K., Brughmans, T., Carter, A. K., Conrad, C., Contreras, D. A., Costa, S., Crema, E. R., Daggett, A., Davies, B., Drake, B. L., Dye, T. S., France, P., … Wren, C. D. (2017). Open science in archaeology.</w:t>
      </w:r>
      <w:r>
        <w:t xml:space="preserve"> </w:t>
      </w:r>
      <w:r>
        <w:rPr>
          <w:iCs/>
          <w:i/>
        </w:rPr>
        <w:t xml:space="preserve">SAA Archaeological Record</w:t>
      </w:r>
      <w:r>
        <w:t xml:space="preserve">,</w:t>
      </w:r>
      <w:r>
        <w:t xml:space="preserve"> </w:t>
      </w:r>
      <w:r>
        <w:rPr>
          <w:iCs/>
          <w:i/>
        </w:rPr>
        <w:t xml:space="preserve">17</w:t>
      </w:r>
      <w:r>
        <w:t xml:space="preserve">(4), 8–14.</w:t>
      </w:r>
      <w:r>
        <w:t xml:space="preserve"> </w:t>
      </w:r>
      <w:hyperlink r:id="rId116">
        <w:r>
          <w:rPr>
            <w:rStyle w:val="Hyperlink"/>
          </w:rPr>
          <w:t xml:space="preserve">http://onlinedigeditions.com/publication/?i=440506</w:t>
        </w:r>
      </w:hyperlink>
    </w:p>
    <w:bookmarkEnd w:id="117"/>
    <w:bookmarkStart w:id="119"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18">
        <w:r>
          <w:rPr>
            <w:rStyle w:val="Hyperlink"/>
          </w:rPr>
          <w:t xml:space="preserve">https://doi.org/10.1016/j.neuron.2021.05.021</w:t>
        </w:r>
      </w:hyperlink>
    </w:p>
    <w:bookmarkEnd w:id="119"/>
    <w:bookmarkStart w:id="121" w:name="ref-moody2021"/>
    <w:p>
      <w:pPr>
        <w:pStyle w:val="Bibliography"/>
      </w:pPr>
      <w:r>
        <w:t xml:space="preserve">Moody, B., Dye, T., May, K., Wright, H., &amp; Buck, C. (2021). Digital chronological data reuse in archaeology: Three case studies with varying purposes and perspectives.</w:t>
      </w:r>
      <w:r>
        <w:t xml:space="preserve"> </w:t>
      </w:r>
      <w:r>
        <w:rPr>
          <w:iCs/>
          <w:i/>
        </w:rPr>
        <w:t xml:space="preserve">Journal of Archaeological Science: Reports</w:t>
      </w:r>
      <w:r>
        <w:t xml:space="preserve">,</w:t>
      </w:r>
      <w:r>
        <w:t xml:space="preserve"> </w:t>
      </w:r>
      <w:r>
        <w:rPr>
          <w:iCs/>
          <w:i/>
        </w:rPr>
        <w:t xml:space="preserve">40</w:t>
      </w:r>
      <w:r>
        <w:t xml:space="preserve">, 103188.</w:t>
      </w:r>
      <w:r>
        <w:t xml:space="preserve"> </w:t>
      </w:r>
      <w:hyperlink r:id="rId120">
        <w:r>
          <w:rPr>
            <w:rStyle w:val="Hyperlink"/>
          </w:rPr>
          <w:t xml:space="preserve">https://doi.org/10.1016/j.jasrep.2021.103188</w:t>
        </w:r>
      </w:hyperlink>
    </w:p>
    <w:bookmarkEnd w:id="121"/>
    <w:bookmarkStart w:id="123"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22">
        <w:r>
          <w:rPr>
            <w:rStyle w:val="Hyperlink"/>
          </w:rPr>
          <w:t xml:space="preserve">https://doi.org/10.1017/S0959774323000070</w:t>
        </w:r>
      </w:hyperlink>
    </w:p>
    <w:bookmarkEnd w:id="123"/>
    <w:bookmarkStart w:id="124" w:name="ref-nami2010"/>
    <w:p>
      <w:pPr>
        <w:pStyle w:val="Bibliography"/>
      </w:pPr>
      <w:r>
        <w:t xml:space="preserve">Nami, H. G. (2010).</w:t>
      </w:r>
      <w:r>
        <w:t xml:space="preserve"> </w:t>
      </w:r>
      <w:r>
        <w:rPr>
          <w:iCs/>
          <w:i/>
        </w:rPr>
        <w:t xml:space="preserve">Theoretical reflections on experimental archaeology and lithic technology: Issues on actualistic stone tools analysis and interpretation</w:t>
      </w:r>
      <w:r>
        <w:t xml:space="preserve"> </w:t>
      </w:r>
      <w:r>
        <w:t xml:space="preserve">(H. G. Nami, Ed.; pp. 91–168). Ediciones de ArqueologÌa Contempor·nea.</w:t>
      </w:r>
    </w:p>
    <w:bookmarkEnd w:id="124"/>
    <w:bookmarkStart w:id="126" w:name="ref-vanopheusden2023"/>
    <w:p>
      <w:pPr>
        <w:pStyle w:val="Bibliography"/>
      </w:pPr>
      <w:r>
        <w:t xml:space="preserve">Opheusden, B. van, Kuperwajs, I., Galbiati, G., Bnaya, Z., Li, Y., &amp; Ma, W. J. (2023). Expertise increases planning depth in human gameplay.</w:t>
      </w:r>
      <w:r>
        <w:t xml:space="preserve"> </w:t>
      </w:r>
      <w:r>
        <w:rPr>
          <w:iCs/>
          <w:i/>
        </w:rPr>
        <w:t xml:space="preserve">Nature</w:t>
      </w:r>
      <w:r>
        <w:t xml:space="preserve">, 1–6.</w:t>
      </w:r>
      <w:r>
        <w:t xml:space="preserve"> </w:t>
      </w:r>
      <w:hyperlink r:id="rId125">
        <w:r>
          <w:rPr>
            <w:rStyle w:val="Hyperlink"/>
          </w:rPr>
          <w:t xml:space="preserve">https://doi.org/10.1038/s41586-023-06124-2</w:t>
        </w:r>
      </w:hyperlink>
    </w:p>
    <w:bookmarkEnd w:id="126"/>
    <w:bookmarkStart w:id="128"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27">
        <w:r>
          <w:rPr>
            <w:rStyle w:val="Hyperlink"/>
          </w:rPr>
          <w:t xml:space="preserve">https://www.jstor.org/stable/40025310</w:t>
        </w:r>
      </w:hyperlink>
    </w:p>
    <w:bookmarkEnd w:id="128"/>
    <w:bookmarkStart w:id="130"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29">
        <w:r>
          <w:rPr>
            <w:rStyle w:val="Hyperlink"/>
          </w:rPr>
          <w:t xml:space="preserve">https://doi.org/10.1007/s10816-022-09592-4</w:t>
        </w:r>
      </w:hyperlink>
    </w:p>
    <w:bookmarkEnd w:id="130"/>
    <w:bookmarkStart w:id="132"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31">
        <w:r>
          <w:rPr>
            <w:rStyle w:val="Hyperlink"/>
          </w:rPr>
          <w:t xml:space="preserve">https://doi.org/10.1007/s12520-018-0729-0</w:t>
        </w:r>
      </w:hyperlink>
    </w:p>
    <w:bookmarkEnd w:id="132"/>
    <w:bookmarkStart w:id="133"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33"/>
    <w:bookmarkStart w:id="135"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34">
        <w:r>
          <w:rPr>
            <w:rStyle w:val="Hyperlink"/>
          </w:rPr>
          <w:t xml:space="preserve">https://doi.org/10.1002/evan.21823</w:t>
        </w:r>
      </w:hyperlink>
    </w:p>
    <w:bookmarkEnd w:id="135"/>
    <w:bookmarkStart w:id="137"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36">
        <w:r>
          <w:rPr>
            <w:rStyle w:val="Hyperlink"/>
          </w:rPr>
          <w:t xml:space="preserve">https://ore.exeter.ac.uk/repository/handle/10871/9041</w:t>
        </w:r>
      </w:hyperlink>
    </w:p>
    <w:bookmarkEnd w:id="137"/>
    <w:bookmarkStart w:id="138" w:name="ref-reevesflores2010"/>
    <w:p>
      <w:pPr>
        <w:pStyle w:val="Bibliography"/>
      </w:pPr>
      <w:r>
        <w:t xml:space="preserve">Reeves Flores, J. (2010).</w:t>
      </w:r>
      <w:r>
        <w:t xml:space="preserve"> </w:t>
      </w:r>
      <w:r>
        <w:rPr>
          <w:iCs/>
          <w:i/>
        </w:rPr>
        <w:t xml:space="preserve">Creating a history of experimental archaeology</w:t>
      </w:r>
      <w:r>
        <w:t xml:space="preserve"> </w:t>
      </w:r>
      <w:r>
        <w:t xml:space="preserve">(D. Millson, Ed.; pp. 29–45). Oxbow Books.</w:t>
      </w:r>
    </w:p>
    <w:bookmarkEnd w:id="138"/>
    <w:bookmarkStart w:id="139"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pp. 156–162). Oxbow Books.</w:t>
      </w:r>
    </w:p>
    <w:bookmarkEnd w:id="139"/>
    <w:bookmarkStart w:id="141"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40">
        <w:r>
          <w:rPr>
            <w:rStyle w:val="Hyperlink"/>
          </w:rPr>
          <w:t xml:space="preserve">https://www.jstor.org/stable/20616293</w:t>
        </w:r>
      </w:hyperlink>
    </w:p>
    <w:bookmarkEnd w:id="141"/>
    <w:bookmarkStart w:id="142"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42"/>
    <w:bookmarkStart w:id="144"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43">
        <w:r>
          <w:rPr>
            <w:rStyle w:val="Hyperlink"/>
          </w:rPr>
          <w:t xml:space="preserve">https://doi.org/10.1016/j.jas.2016.04.013</w:t>
        </w:r>
      </w:hyperlink>
    </w:p>
    <w:bookmarkEnd w:id="144"/>
    <w:bookmarkStart w:id="146"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45">
        <w:r>
          <w:rPr>
            <w:rStyle w:val="Hyperlink"/>
          </w:rPr>
          <w:t xml:space="preserve">https://doi.org/10.5334/jcaa.29</w:t>
        </w:r>
      </w:hyperlink>
    </w:p>
    <w:bookmarkEnd w:id="146"/>
    <w:bookmarkStart w:id="148" w:name="ref-schulz2002"/>
    <w:p>
      <w:pPr>
        <w:pStyle w:val="Bibliography"/>
      </w:pPr>
      <w:r>
        <w:t xml:space="preserve">Schulz, K. F., &amp; Grimes, D. A. (2002). Allocation concealment in randomised trials: defending against deciphering.</w:t>
      </w:r>
      <w:r>
        <w:t xml:space="preserve"> </w:t>
      </w:r>
      <w:r>
        <w:rPr>
          <w:iCs/>
          <w:i/>
        </w:rPr>
        <w:t xml:space="preserve">The Lancet</w:t>
      </w:r>
      <w:r>
        <w:t xml:space="preserve">,</w:t>
      </w:r>
      <w:r>
        <w:t xml:space="preserve"> </w:t>
      </w:r>
      <w:r>
        <w:rPr>
          <w:iCs/>
          <w:i/>
        </w:rPr>
        <w:t xml:space="preserve">359</w:t>
      </w:r>
      <w:r>
        <w:t xml:space="preserve">(9306), 614–618.</w:t>
      </w:r>
      <w:r>
        <w:t xml:space="preserve"> </w:t>
      </w:r>
      <w:hyperlink r:id="rId147">
        <w:r>
          <w:rPr>
            <w:rStyle w:val="Hyperlink"/>
          </w:rPr>
          <w:t xml:space="preserve">https://doi.org/10.1016/S0140-6736(02)07750-4</w:t>
        </w:r>
      </w:hyperlink>
    </w:p>
    <w:bookmarkEnd w:id="148"/>
    <w:bookmarkStart w:id="150"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49">
        <w:r>
          <w:rPr>
            <w:rStyle w:val="Hyperlink"/>
          </w:rPr>
          <w:t xml:space="preserve">https://doi.org/10.1177/1745691619856350</w:t>
        </w:r>
      </w:hyperlink>
    </w:p>
    <w:bookmarkEnd w:id="150"/>
    <w:bookmarkStart w:id="152"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51">
        <w:r>
          <w:rPr>
            <w:rStyle w:val="Hyperlink"/>
          </w:rPr>
          <w:t xml:space="preserve">https://doi.org/10.1145/2756406.2756951</w:t>
        </w:r>
      </w:hyperlink>
    </w:p>
    <w:bookmarkEnd w:id="152"/>
    <w:bookmarkStart w:id="154" w:name="ref-sobotkova2018"/>
    <w:p>
      <w:pPr>
        <w:pStyle w:val="Bibliography"/>
      </w:pPr>
      <w:r>
        <w:t xml:space="preserve">Sobotkova, A. (2018). Sociotechnical Obstacles to Archaeological Data Reuse.</w:t>
      </w:r>
      <w:r>
        <w:t xml:space="preserve"> </w:t>
      </w:r>
      <w:r>
        <w:rPr>
          <w:iCs/>
          <w:i/>
        </w:rPr>
        <w:t xml:space="preserve">Advances in Archaeological Practice</w:t>
      </w:r>
      <w:r>
        <w:t xml:space="preserve">,</w:t>
      </w:r>
      <w:r>
        <w:t xml:space="preserve"> </w:t>
      </w:r>
      <w:r>
        <w:rPr>
          <w:iCs/>
          <w:i/>
        </w:rPr>
        <w:t xml:space="preserve">6</w:t>
      </w:r>
      <w:r>
        <w:t xml:space="preserve">(2), 117–124.</w:t>
      </w:r>
      <w:r>
        <w:t xml:space="preserve"> </w:t>
      </w:r>
      <w:hyperlink r:id="rId153">
        <w:r>
          <w:rPr>
            <w:rStyle w:val="Hyperlink"/>
          </w:rPr>
          <w:t xml:space="preserve">https://doi.org/10.1017/aap.2017.37</w:t>
        </w:r>
      </w:hyperlink>
    </w:p>
    <w:bookmarkEnd w:id="154"/>
    <w:bookmarkStart w:id="156"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55">
        <w:r>
          <w:rPr>
            <w:rStyle w:val="Hyperlink"/>
          </w:rPr>
          <w:t xml:space="preserve">https://doi.org/10.1016/j.tics.2019.05.004</w:t>
        </w:r>
      </w:hyperlink>
    </w:p>
    <w:bookmarkEnd w:id="156"/>
    <w:bookmarkStart w:id="158" w:name="ref-speich2019"/>
    <w:p>
      <w:pPr>
        <w:pStyle w:val="Bibliography"/>
      </w:pPr>
      <w:r>
        <w:t xml:space="preserve">Speich, B., Schur, N., Gryaznov, D., Niederhäusern, B. von, Hemkens, L. G., Schandelmaier, S., Amstutz, A., Kasenda, B., Pauli-Magnus, C., Ojeda-Ruiz, E., Tomonaga, Y., McCord, K., Nordmann, A., Elm, E. von, Briel, M., Schwenkglenks, M., &amp; Groups, a. collaboration of the M. (MAking. R. T. A. and A. (Adherence. to S. P. I. Re. for interventional trials). S. (2019). Resource use, costs, and approval times for planning and preparing a randomized clinical trial before and after the implementation of the new Swiss human research legislation.</w:t>
      </w:r>
      <w:r>
        <w:t xml:space="preserve"> </w:t>
      </w:r>
      <w:r>
        <w:rPr>
          <w:iCs/>
          <w:i/>
        </w:rPr>
        <w:t xml:space="preserve">PLOS ONE</w:t>
      </w:r>
      <w:r>
        <w:t xml:space="preserve">,</w:t>
      </w:r>
      <w:r>
        <w:t xml:space="preserve"> </w:t>
      </w:r>
      <w:r>
        <w:rPr>
          <w:iCs/>
          <w:i/>
        </w:rPr>
        <w:t xml:space="preserve">14</w:t>
      </w:r>
      <w:r>
        <w:t xml:space="preserve">(1), e0210669.</w:t>
      </w:r>
      <w:r>
        <w:t xml:space="preserve"> </w:t>
      </w:r>
      <w:hyperlink r:id="rId157">
        <w:r>
          <w:rPr>
            <w:rStyle w:val="Hyperlink"/>
          </w:rPr>
          <w:t xml:space="preserve">https://doi.org/10.1371/journal.pone.0210669</w:t>
        </w:r>
      </w:hyperlink>
    </w:p>
    <w:bookmarkEnd w:id="158"/>
    <w:bookmarkStart w:id="160"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59">
        <w:r>
          <w:rPr>
            <w:rStyle w:val="Hyperlink"/>
          </w:rPr>
          <w:t xml:space="preserve">https://doi.org/10.1086/342638</w:t>
        </w:r>
      </w:hyperlink>
    </w:p>
    <w:bookmarkEnd w:id="160"/>
    <w:bookmarkStart w:id="162"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61">
        <w:r>
          <w:rPr>
            <w:rStyle w:val="Hyperlink"/>
          </w:rPr>
          <w:t xml:space="preserve">https://doi.org/10.1038/s41598-021-92992-5</w:t>
        </w:r>
      </w:hyperlink>
    </w:p>
    <w:bookmarkEnd w:id="162"/>
    <w:bookmarkStart w:id="164"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63">
        <w:r>
          <w:rPr>
            <w:rStyle w:val="Hyperlink"/>
          </w:rPr>
          <w:t xml:space="preserve">https://doi.org/10.1017/S0140525X21000431</w:t>
        </w:r>
      </w:hyperlink>
    </w:p>
    <w:bookmarkEnd w:id="164"/>
    <w:bookmarkStart w:id="166" w:name="ref-timbrell2022"/>
    <w:p>
      <w:pPr>
        <w:pStyle w:val="Bibliography"/>
      </w:pPr>
      <w:r>
        <w:t xml:space="preserve">Timbrell, L. (2022). A collaborative model for lithic shape digitization in museum settings.</w:t>
      </w:r>
      <w:r>
        <w:t xml:space="preserve"> </w:t>
      </w:r>
      <w:r>
        <w:rPr>
          <w:iCs/>
          <w:i/>
        </w:rPr>
        <w:t xml:space="preserve">Lithic Technology</w:t>
      </w:r>
      <w:r>
        <w:t xml:space="preserve">,</w:t>
      </w:r>
      <w:r>
        <w:t xml:space="preserve"> </w:t>
      </w:r>
      <w:r>
        <w:rPr>
          <w:iCs/>
          <w:i/>
        </w:rPr>
        <w:t xml:space="preserve">0</w:t>
      </w:r>
      <w:r>
        <w:t xml:space="preserve">(0), 1–12.</w:t>
      </w:r>
      <w:r>
        <w:t xml:space="preserve"> </w:t>
      </w:r>
      <w:hyperlink r:id="rId165">
        <w:r>
          <w:rPr>
            <w:rStyle w:val="Hyperlink"/>
          </w:rPr>
          <w:t xml:space="preserve">https://doi.org/10.1080/01977261.2022.2092299</w:t>
        </w:r>
      </w:hyperlink>
    </w:p>
    <w:bookmarkEnd w:id="166"/>
    <w:bookmarkStart w:id="167"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67"/>
    <w:bookmarkStart w:id="168" w:name="ref-whittaker1994"/>
    <w:p>
      <w:pPr>
        <w:pStyle w:val="Bibliography"/>
      </w:pPr>
      <w:r>
        <w:t xml:space="preserve">Whittaker, John C. (1994).</w:t>
      </w:r>
      <w:r>
        <w:t xml:space="preserve"> </w:t>
      </w:r>
      <w:r>
        <w:rPr>
          <w:iCs/>
          <w:i/>
        </w:rPr>
        <w:t xml:space="preserve">Flintknapping: Making and Understanding Stone Tools</w:t>
      </w:r>
      <w:r>
        <w:t xml:space="preserve">. University of Texas Press.</w:t>
      </w:r>
    </w:p>
    <w:bookmarkEnd w:id="168"/>
    <w:bookmarkStart w:id="169" w:name="ref-whittaker2004"/>
    <w:p>
      <w:pPr>
        <w:pStyle w:val="Bibliography"/>
      </w:pPr>
      <w:r>
        <w:t xml:space="preserve">Whittaker, John, C. (2004).</w:t>
      </w:r>
      <w:r>
        <w:t xml:space="preserve"> </w:t>
      </w:r>
      <w:r>
        <w:rPr>
          <w:iCs/>
          <w:i/>
        </w:rPr>
        <w:t xml:space="preserve">American Flintknappers: Stone Age Art in the Age of Computers</w:t>
      </w:r>
      <w:r>
        <w:t xml:space="preserve">. University of Texas Press.</w:t>
      </w:r>
    </w:p>
    <w:bookmarkEnd w:id="169"/>
    <w:bookmarkStart w:id="171"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70">
        <w:r>
          <w:rPr>
            <w:rStyle w:val="Hyperlink"/>
          </w:rPr>
          <w:t xml:space="preserve">https://doi.org/10.1038/sdata.2016.18</w:t>
        </w:r>
      </w:hyperlink>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raylc1996@outlook.com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hyperlink" Id="rId116" Target="http://onlinedigeditions.com/publication/?i=440506" TargetMode="External" /><Relationship Type="http://schemas.openxmlformats.org/officeDocument/2006/relationships/hyperlink" Id="rId134" Target="https://doi.org/10.1002/evan.21823" TargetMode="External" /><Relationship Type="http://schemas.openxmlformats.org/officeDocument/2006/relationships/hyperlink" Id="rId99" Target="https://doi.org/10.1002/evan.21964" TargetMode="External" /><Relationship Type="http://schemas.openxmlformats.org/officeDocument/2006/relationships/hyperlink" Id="rId57" Target="https://doi.org/10.1007/s10437-020-09404-8" TargetMode="External" /><Relationship Type="http://schemas.openxmlformats.org/officeDocument/2006/relationships/hyperlink" Id="rId91" Target="https://doi.org/10.1007/s10816-013-9188-1" TargetMode="External" /><Relationship Type="http://schemas.openxmlformats.org/officeDocument/2006/relationships/hyperlink" Id="rId95" Target="https://doi.org/10.1007/s10816-017-9351-1" TargetMode="External" /><Relationship Type="http://schemas.openxmlformats.org/officeDocument/2006/relationships/hyperlink" Id="rId93" Target="https://doi.org/10.1007/s10816-022-09586-2" TargetMode="External" /><Relationship Type="http://schemas.openxmlformats.org/officeDocument/2006/relationships/hyperlink" Id="rId129" Target="https://doi.org/10.1007/s10816-022-09592-4" TargetMode="External" /><Relationship Type="http://schemas.openxmlformats.org/officeDocument/2006/relationships/hyperlink" Id="rId131" Target="https://doi.org/10.1007/s12520-018-0729-0" TargetMode="External" /><Relationship Type="http://schemas.openxmlformats.org/officeDocument/2006/relationships/hyperlink" Id="rId147" Target="https://doi.org/10.1016/S0140-6736(02)07750-4" TargetMode="External" /><Relationship Type="http://schemas.openxmlformats.org/officeDocument/2006/relationships/hyperlink" Id="rId68" Target="https://doi.org/10.1016/bs.asb.2018.01.001" TargetMode="External" /><Relationship Type="http://schemas.openxmlformats.org/officeDocument/2006/relationships/hyperlink" Id="rId143" Target="https://doi.org/10.1016/j.jas.2016.04.013" TargetMode="External" /><Relationship Type="http://schemas.openxmlformats.org/officeDocument/2006/relationships/hyperlink" Id="rId120" Target="https://doi.org/10.1016/j.jasrep.2021.103188" TargetMode="External" /><Relationship Type="http://schemas.openxmlformats.org/officeDocument/2006/relationships/hyperlink" Id="rId97" Target="https://doi.org/10.1016/j.jasrep.2023.103974" TargetMode="External" /><Relationship Type="http://schemas.openxmlformats.org/officeDocument/2006/relationships/hyperlink" Id="rId118" Target="https://doi.org/10.1016/j.neuron.2021.05.021" TargetMode="External" /><Relationship Type="http://schemas.openxmlformats.org/officeDocument/2006/relationships/hyperlink" Id="rId108" Target="https://doi.org/10.1016/j.quascirev.2020.106431" TargetMode="External" /><Relationship Type="http://schemas.openxmlformats.org/officeDocument/2006/relationships/hyperlink" Id="rId55" Target="https://doi.org/10.1016/j.socscimed.2017.12.005" TargetMode="External" /><Relationship Type="http://schemas.openxmlformats.org/officeDocument/2006/relationships/hyperlink" Id="rId155" Target="https://doi.org/10.1016/j.tics.2019.05.004" TargetMode="External" /><Relationship Type="http://schemas.openxmlformats.org/officeDocument/2006/relationships/hyperlink" Id="rId163" Target="https://doi.org/10.1017/S0140525X21000431" TargetMode="External" /><Relationship Type="http://schemas.openxmlformats.org/officeDocument/2006/relationships/hyperlink" Id="rId83" Target="https://doi.org/10.1017/S0959774304230050" TargetMode="External" /><Relationship Type="http://schemas.openxmlformats.org/officeDocument/2006/relationships/hyperlink" Id="rId103" Target="https://doi.org/10.1017/S095977431200025X" TargetMode="External" /><Relationship Type="http://schemas.openxmlformats.org/officeDocument/2006/relationships/hyperlink" Id="rId38" Target="https://doi.org/10.1017/S0959774320000347" TargetMode="External" /><Relationship Type="http://schemas.openxmlformats.org/officeDocument/2006/relationships/hyperlink" Id="rId122" Target="https://doi.org/10.1017/S0959774323000070" TargetMode="External" /><Relationship Type="http://schemas.openxmlformats.org/officeDocument/2006/relationships/hyperlink" Id="rId46" Target="https://doi.org/10.1017/S1745855207005029" TargetMode="External" /><Relationship Type="http://schemas.openxmlformats.org/officeDocument/2006/relationships/hyperlink" Id="rId153" Target="https://doi.org/10.1017/aap.2017.37" TargetMode="External" /><Relationship Type="http://schemas.openxmlformats.org/officeDocument/2006/relationships/hyperlink" Id="rId86" Target="https://doi.org/10.1017/aap.2018.1" TargetMode="External" /><Relationship Type="http://schemas.openxmlformats.org/officeDocument/2006/relationships/hyperlink" Id="rId62" Target="https://doi.org/10.1017/aap.2018.2" TargetMode="External" /><Relationship Type="http://schemas.openxmlformats.org/officeDocument/2006/relationships/hyperlink" Id="rId114" Target="https://doi.org/10.1017/aap.2018.3" TargetMode="External" /><Relationship Type="http://schemas.openxmlformats.org/officeDocument/2006/relationships/hyperlink" Id="rId81" Target="https://doi.org/10.1037/1076-898X.5.2.205" TargetMode="External" /><Relationship Type="http://schemas.openxmlformats.org/officeDocument/2006/relationships/hyperlink" Id="rId125" Target="https://doi.org/10.1038/s41586-023-06124-2" TargetMode="External" /><Relationship Type="http://schemas.openxmlformats.org/officeDocument/2006/relationships/hyperlink" Id="rId101" Target="https://doi.org/10.1038/s41598-017-14322-y" TargetMode="External" /><Relationship Type="http://schemas.openxmlformats.org/officeDocument/2006/relationships/hyperlink" Id="rId161" Target="https://doi.org/10.1038/s41598-021-92992-5" TargetMode="External" /><Relationship Type="http://schemas.openxmlformats.org/officeDocument/2006/relationships/hyperlink" Id="rId170" Target="https://doi.org/10.1038/sdata.2016.18" TargetMode="External" /><Relationship Type="http://schemas.openxmlformats.org/officeDocument/2006/relationships/hyperlink" Id="rId110" Target="https://doi.org/10.1080/0043824022000007062" TargetMode="External" /><Relationship Type="http://schemas.openxmlformats.org/officeDocument/2006/relationships/hyperlink" Id="rId51" Target="https://doi.org/10.1080/01977261.2019.1587255" TargetMode="External" /><Relationship Type="http://schemas.openxmlformats.org/officeDocument/2006/relationships/hyperlink" Id="rId165" Target="https://doi.org/10.1080/01977261.2022.2092299" TargetMode="External" /><Relationship Type="http://schemas.openxmlformats.org/officeDocument/2006/relationships/hyperlink" Id="rId60" Target="https://doi.org/10.1080/19442890.2016.1213972" TargetMode="External" /><Relationship Type="http://schemas.openxmlformats.org/officeDocument/2006/relationships/hyperlink" Id="rId89" Target="https://doi.org/10.1086/202078" TargetMode="External" /><Relationship Type="http://schemas.openxmlformats.org/officeDocument/2006/relationships/hyperlink" Id="rId42" Target="https://doi.org/10.1086/261651" TargetMode="External" /><Relationship Type="http://schemas.openxmlformats.org/officeDocument/2006/relationships/hyperlink" Id="rId159" Target="https://doi.org/10.1086/342638" TargetMode="External" /><Relationship Type="http://schemas.openxmlformats.org/officeDocument/2006/relationships/hyperlink" Id="rId75" Target="https://doi.org/10.1086/650295" TargetMode="External" /><Relationship Type="http://schemas.openxmlformats.org/officeDocument/2006/relationships/hyperlink" Id="rId78" Target="https://doi.org/10.1093/oxfordhb/9780192895950.013.12" TargetMode="External" /><Relationship Type="http://schemas.openxmlformats.org/officeDocument/2006/relationships/hyperlink" Id="rId70" Target="https://doi.org/10.1111/2041-210X.12584" TargetMode="External" /><Relationship Type="http://schemas.openxmlformats.org/officeDocument/2006/relationships/hyperlink" Id="rId66" Target="https://doi.org/10.1136/bmjopen-2011-000496" TargetMode="External" /><Relationship Type="http://schemas.openxmlformats.org/officeDocument/2006/relationships/hyperlink" Id="rId151" Target="https://doi.org/10.1145/2756406.2756951" TargetMode="External" /><Relationship Type="http://schemas.openxmlformats.org/officeDocument/2006/relationships/hyperlink" Id="rId64" Target="https://doi.org/10.1146/annurev.an.13.100184.001155" TargetMode="External" /><Relationship Type="http://schemas.openxmlformats.org/officeDocument/2006/relationships/hyperlink" Id="rId72" Target="https://doi.org/10.1167/15.12.280" TargetMode="External" /><Relationship Type="http://schemas.openxmlformats.org/officeDocument/2006/relationships/hyperlink" Id="rId149" Target="https://doi.org/10.1177/1745691619856350" TargetMode="External" /><Relationship Type="http://schemas.openxmlformats.org/officeDocument/2006/relationships/hyperlink" Id="rId35" Target="https://doi.org/10.1371/journal.pcbi.1010325" TargetMode="External" /><Relationship Type="http://schemas.openxmlformats.org/officeDocument/2006/relationships/hyperlink" Id="rId157" Target="https://doi.org/10.1371/journal.pone.0210669" TargetMode="External" /><Relationship Type="http://schemas.openxmlformats.org/officeDocument/2006/relationships/hyperlink" Id="rId112" Target="https://doi.org/10.1371/journal.pone.0273118" TargetMode="External" /><Relationship Type="http://schemas.openxmlformats.org/officeDocument/2006/relationships/hyperlink" Id="rId40" Target="https://doi.org/10.2218/jls.v3i1.1522" TargetMode="External" /><Relationship Type="http://schemas.openxmlformats.org/officeDocument/2006/relationships/hyperlink" Id="rId53" Target="https://doi.org/10.2307/j.ctv1c29t27" TargetMode="External" /><Relationship Type="http://schemas.openxmlformats.org/officeDocument/2006/relationships/hyperlink" Id="rId105" Target="https://doi.org/10.4207/PA.2014.ART90" TargetMode="External" /><Relationship Type="http://schemas.openxmlformats.org/officeDocument/2006/relationships/hyperlink" Id="rId44" Target="https://doi.org/10.5334/dsj-2020-043" TargetMode="External" /><Relationship Type="http://schemas.openxmlformats.org/officeDocument/2006/relationships/hyperlink" Id="rId145" Target="https://doi.org/10.5334/jcaa.29" TargetMode="External" /><Relationship Type="http://schemas.openxmlformats.org/officeDocument/2006/relationships/hyperlink" Id="rId136" Target="https://ore.exeter.ac.uk/repository/handle/10871/9041" TargetMode="External" /><Relationship Type="http://schemas.openxmlformats.org/officeDocument/2006/relationships/hyperlink" Id="rId140" Target="https://www.jstor.org/stable/20616293" TargetMode="External" /><Relationship Type="http://schemas.openxmlformats.org/officeDocument/2006/relationships/hyperlink" Id="rId127" Target="https://www.jstor.org/stable/40025310" TargetMode="External" /><Relationship Type="http://schemas.openxmlformats.org/officeDocument/2006/relationships/hyperlink" Id="rId21" Target="mailto:raylc1996@outlook.com" TargetMode="External" /></Relationships>
</file>

<file path=word/_rels/footnotes.xml.rels><?xml version="1.0" encoding="UTF-8"?><Relationships xmlns="http://schemas.openxmlformats.org/package/2006/relationships"><Relationship Type="http://schemas.openxmlformats.org/officeDocument/2006/relationships/hyperlink" Id="rId116" Target="http://onlinedigeditions.com/publication/?i=440506" TargetMode="External" /><Relationship Type="http://schemas.openxmlformats.org/officeDocument/2006/relationships/hyperlink" Id="rId134" Target="https://doi.org/10.1002/evan.21823" TargetMode="External" /><Relationship Type="http://schemas.openxmlformats.org/officeDocument/2006/relationships/hyperlink" Id="rId99" Target="https://doi.org/10.1002/evan.21964" TargetMode="External" /><Relationship Type="http://schemas.openxmlformats.org/officeDocument/2006/relationships/hyperlink" Id="rId57" Target="https://doi.org/10.1007/s10437-020-09404-8" TargetMode="External" /><Relationship Type="http://schemas.openxmlformats.org/officeDocument/2006/relationships/hyperlink" Id="rId91" Target="https://doi.org/10.1007/s10816-013-9188-1" TargetMode="External" /><Relationship Type="http://schemas.openxmlformats.org/officeDocument/2006/relationships/hyperlink" Id="rId95" Target="https://doi.org/10.1007/s10816-017-9351-1" TargetMode="External" /><Relationship Type="http://schemas.openxmlformats.org/officeDocument/2006/relationships/hyperlink" Id="rId93" Target="https://doi.org/10.1007/s10816-022-09586-2" TargetMode="External" /><Relationship Type="http://schemas.openxmlformats.org/officeDocument/2006/relationships/hyperlink" Id="rId129" Target="https://doi.org/10.1007/s10816-022-09592-4" TargetMode="External" /><Relationship Type="http://schemas.openxmlformats.org/officeDocument/2006/relationships/hyperlink" Id="rId131" Target="https://doi.org/10.1007/s12520-018-0729-0" TargetMode="External" /><Relationship Type="http://schemas.openxmlformats.org/officeDocument/2006/relationships/hyperlink" Id="rId147" Target="https://doi.org/10.1016/S0140-6736(02)07750-4" TargetMode="External" /><Relationship Type="http://schemas.openxmlformats.org/officeDocument/2006/relationships/hyperlink" Id="rId68" Target="https://doi.org/10.1016/bs.asb.2018.01.001" TargetMode="External" /><Relationship Type="http://schemas.openxmlformats.org/officeDocument/2006/relationships/hyperlink" Id="rId143" Target="https://doi.org/10.1016/j.jas.2016.04.013" TargetMode="External" /><Relationship Type="http://schemas.openxmlformats.org/officeDocument/2006/relationships/hyperlink" Id="rId120" Target="https://doi.org/10.1016/j.jasrep.2021.103188" TargetMode="External" /><Relationship Type="http://schemas.openxmlformats.org/officeDocument/2006/relationships/hyperlink" Id="rId97" Target="https://doi.org/10.1016/j.jasrep.2023.103974" TargetMode="External" /><Relationship Type="http://schemas.openxmlformats.org/officeDocument/2006/relationships/hyperlink" Id="rId118" Target="https://doi.org/10.1016/j.neuron.2021.05.021" TargetMode="External" /><Relationship Type="http://schemas.openxmlformats.org/officeDocument/2006/relationships/hyperlink" Id="rId108" Target="https://doi.org/10.1016/j.quascirev.2020.106431" TargetMode="External" /><Relationship Type="http://schemas.openxmlformats.org/officeDocument/2006/relationships/hyperlink" Id="rId55" Target="https://doi.org/10.1016/j.socscimed.2017.12.005" TargetMode="External" /><Relationship Type="http://schemas.openxmlformats.org/officeDocument/2006/relationships/hyperlink" Id="rId155" Target="https://doi.org/10.1016/j.tics.2019.05.004" TargetMode="External" /><Relationship Type="http://schemas.openxmlformats.org/officeDocument/2006/relationships/hyperlink" Id="rId163" Target="https://doi.org/10.1017/S0140525X21000431" TargetMode="External" /><Relationship Type="http://schemas.openxmlformats.org/officeDocument/2006/relationships/hyperlink" Id="rId83" Target="https://doi.org/10.1017/S0959774304230050" TargetMode="External" /><Relationship Type="http://schemas.openxmlformats.org/officeDocument/2006/relationships/hyperlink" Id="rId103" Target="https://doi.org/10.1017/S095977431200025X" TargetMode="External" /><Relationship Type="http://schemas.openxmlformats.org/officeDocument/2006/relationships/hyperlink" Id="rId38" Target="https://doi.org/10.1017/S0959774320000347" TargetMode="External" /><Relationship Type="http://schemas.openxmlformats.org/officeDocument/2006/relationships/hyperlink" Id="rId122" Target="https://doi.org/10.1017/S0959774323000070" TargetMode="External" /><Relationship Type="http://schemas.openxmlformats.org/officeDocument/2006/relationships/hyperlink" Id="rId46" Target="https://doi.org/10.1017/S1745855207005029" TargetMode="External" /><Relationship Type="http://schemas.openxmlformats.org/officeDocument/2006/relationships/hyperlink" Id="rId153" Target="https://doi.org/10.1017/aap.2017.37" TargetMode="External" /><Relationship Type="http://schemas.openxmlformats.org/officeDocument/2006/relationships/hyperlink" Id="rId86" Target="https://doi.org/10.1017/aap.2018.1" TargetMode="External" /><Relationship Type="http://schemas.openxmlformats.org/officeDocument/2006/relationships/hyperlink" Id="rId62" Target="https://doi.org/10.1017/aap.2018.2" TargetMode="External" /><Relationship Type="http://schemas.openxmlformats.org/officeDocument/2006/relationships/hyperlink" Id="rId114" Target="https://doi.org/10.1017/aap.2018.3" TargetMode="External" /><Relationship Type="http://schemas.openxmlformats.org/officeDocument/2006/relationships/hyperlink" Id="rId81" Target="https://doi.org/10.1037/1076-898X.5.2.205" TargetMode="External" /><Relationship Type="http://schemas.openxmlformats.org/officeDocument/2006/relationships/hyperlink" Id="rId125" Target="https://doi.org/10.1038/s41586-023-06124-2" TargetMode="External" /><Relationship Type="http://schemas.openxmlformats.org/officeDocument/2006/relationships/hyperlink" Id="rId101" Target="https://doi.org/10.1038/s41598-017-14322-y" TargetMode="External" /><Relationship Type="http://schemas.openxmlformats.org/officeDocument/2006/relationships/hyperlink" Id="rId161" Target="https://doi.org/10.1038/s41598-021-92992-5" TargetMode="External" /><Relationship Type="http://schemas.openxmlformats.org/officeDocument/2006/relationships/hyperlink" Id="rId170" Target="https://doi.org/10.1038/sdata.2016.18" TargetMode="External" /><Relationship Type="http://schemas.openxmlformats.org/officeDocument/2006/relationships/hyperlink" Id="rId110" Target="https://doi.org/10.1080/0043824022000007062" TargetMode="External" /><Relationship Type="http://schemas.openxmlformats.org/officeDocument/2006/relationships/hyperlink" Id="rId51" Target="https://doi.org/10.1080/01977261.2019.1587255" TargetMode="External" /><Relationship Type="http://schemas.openxmlformats.org/officeDocument/2006/relationships/hyperlink" Id="rId165" Target="https://doi.org/10.1080/01977261.2022.2092299" TargetMode="External" /><Relationship Type="http://schemas.openxmlformats.org/officeDocument/2006/relationships/hyperlink" Id="rId60" Target="https://doi.org/10.1080/19442890.2016.1213972" TargetMode="External" /><Relationship Type="http://schemas.openxmlformats.org/officeDocument/2006/relationships/hyperlink" Id="rId89" Target="https://doi.org/10.1086/202078" TargetMode="External" /><Relationship Type="http://schemas.openxmlformats.org/officeDocument/2006/relationships/hyperlink" Id="rId42" Target="https://doi.org/10.1086/261651" TargetMode="External" /><Relationship Type="http://schemas.openxmlformats.org/officeDocument/2006/relationships/hyperlink" Id="rId159" Target="https://doi.org/10.1086/342638" TargetMode="External" /><Relationship Type="http://schemas.openxmlformats.org/officeDocument/2006/relationships/hyperlink" Id="rId75" Target="https://doi.org/10.1086/650295" TargetMode="External" /><Relationship Type="http://schemas.openxmlformats.org/officeDocument/2006/relationships/hyperlink" Id="rId78" Target="https://doi.org/10.1093/oxfordhb/9780192895950.013.12" TargetMode="External" /><Relationship Type="http://schemas.openxmlformats.org/officeDocument/2006/relationships/hyperlink" Id="rId70" Target="https://doi.org/10.1111/2041-210X.12584" TargetMode="External" /><Relationship Type="http://schemas.openxmlformats.org/officeDocument/2006/relationships/hyperlink" Id="rId66" Target="https://doi.org/10.1136/bmjopen-2011-000496" TargetMode="External" /><Relationship Type="http://schemas.openxmlformats.org/officeDocument/2006/relationships/hyperlink" Id="rId151" Target="https://doi.org/10.1145/2756406.2756951" TargetMode="External" /><Relationship Type="http://schemas.openxmlformats.org/officeDocument/2006/relationships/hyperlink" Id="rId64" Target="https://doi.org/10.1146/annurev.an.13.100184.001155" TargetMode="External" /><Relationship Type="http://schemas.openxmlformats.org/officeDocument/2006/relationships/hyperlink" Id="rId72" Target="https://doi.org/10.1167/15.12.280" TargetMode="External" /><Relationship Type="http://schemas.openxmlformats.org/officeDocument/2006/relationships/hyperlink" Id="rId149" Target="https://doi.org/10.1177/1745691619856350" TargetMode="External" /><Relationship Type="http://schemas.openxmlformats.org/officeDocument/2006/relationships/hyperlink" Id="rId35" Target="https://doi.org/10.1371/journal.pcbi.1010325" TargetMode="External" /><Relationship Type="http://schemas.openxmlformats.org/officeDocument/2006/relationships/hyperlink" Id="rId157" Target="https://doi.org/10.1371/journal.pone.0210669" TargetMode="External" /><Relationship Type="http://schemas.openxmlformats.org/officeDocument/2006/relationships/hyperlink" Id="rId112" Target="https://doi.org/10.1371/journal.pone.0273118" TargetMode="External" /><Relationship Type="http://schemas.openxmlformats.org/officeDocument/2006/relationships/hyperlink" Id="rId40" Target="https://doi.org/10.2218/jls.v3i1.1522" TargetMode="External" /><Relationship Type="http://schemas.openxmlformats.org/officeDocument/2006/relationships/hyperlink" Id="rId53" Target="https://doi.org/10.2307/j.ctv1c29t27" TargetMode="External" /><Relationship Type="http://schemas.openxmlformats.org/officeDocument/2006/relationships/hyperlink" Id="rId105" Target="https://doi.org/10.4207/PA.2014.ART90" TargetMode="External" /><Relationship Type="http://schemas.openxmlformats.org/officeDocument/2006/relationships/hyperlink" Id="rId44" Target="https://doi.org/10.5334/dsj-2020-043" TargetMode="External" /><Relationship Type="http://schemas.openxmlformats.org/officeDocument/2006/relationships/hyperlink" Id="rId145" Target="https://doi.org/10.5334/jcaa.29" TargetMode="External" /><Relationship Type="http://schemas.openxmlformats.org/officeDocument/2006/relationships/hyperlink" Id="rId136" Target="https://ore.exeter.ac.uk/repository/handle/10871/9041" TargetMode="External" /><Relationship Type="http://schemas.openxmlformats.org/officeDocument/2006/relationships/hyperlink" Id="rId140" Target="https://www.jstor.org/stable/20616293" TargetMode="External" /><Relationship Type="http://schemas.openxmlformats.org/officeDocument/2006/relationships/hyperlink" Id="rId127" Target="https://www.jstor.org/stable/40025310" TargetMode="External" /><Relationship Type="http://schemas.openxmlformats.org/officeDocument/2006/relationships/hyperlink" Id="rId21" Target="mailto:raylc1996@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scope of experimental archaeology using the Perception-Process-Product conceptual framework</dc:title>
  <dc:creator>Cheng Liu</dc:creator>
  <cp:keywords/>
  <dcterms:created xsi:type="dcterms:W3CDTF">2023-07-06T13:50:35Z</dcterms:created>
  <dcterms:modified xsi:type="dcterms:W3CDTF">2023-07-06T13:50:35Z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the outline of the Perception-Process-Product (‘Triple P’) conceptual framework that aims to expand the scope of experimental archaeology. The Triple P framework emphasizes the amplification of multi-level variabilty and the identification of causal relationships of variations across the levels of perception, process, and product. Here we propose the following five basic measures to put the Triple P framework into practice: 1) the acknowledgement of the contribution and limitations of actualistic experiments properly; 2) the normalization the ethological and ethnographic data collection in experimental projects; 3) the involvement of avocational as well as novice participants; 4) the collaboration across labs on a global scale; and 5) the development of an open-access repository for data reuse. ¶  ¶  Experimental archaeology; Ethological analysis; Ethnographical analysis; The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2023-07-06</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