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matters:</w:t>
      </w:r>
      <w:r>
        <w:t xml:space="preserve"> </w:t>
      </w: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2023-09-17</w:t>
      </w:r>
    </w:p>
    <w:p>
      <w:pPr>
        <w:pStyle w:val="Abstract"/>
      </w:pPr>
      <w:r>
        <w:t xml:space="preserve">Abstract:</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outline</w:t>
      </w:r>
      <w:r>
        <w:t xml:space="preserve"> </w:t>
      </w:r>
      <w:r>
        <w:t xml:space="preserve">of</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conceptual</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the</w:t>
      </w:r>
      <w:r>
        <w:t xml:space="preserve"> </w:t>
      </w:r>
      <w:r>
        <w:t xml:space="preserve">amplification</w:t>
      </w:r>
      <w:r>
        <w:t xml:space="preserve"> </w:t>
      </w:r>
      <w:r>
        <w:t xml:space="preserve">of</w:t>
      </w:r>
      <w:r>
        <w:t xml:space="preserve"> </w:t>
      </w:r>
      <w:r>
        <w:t xml:space="preserve">multi-level</w:t>
      </w:r>
      <w:r>
        <w:t xml:space="preserve"> </w:t>
      </w:r>
      <w:r>
        <w:t xml:space="preserve">variation</w:t>
      </w:r>
      <w:r>
        <w:t xml:space="preserve"> </w:t>
      </w:r>
      <w:r>
        <w:t xml:space="preserve">and</w:t>
      </w:r>
      <w:r>
        <w:t xml:space="preserve"> </w:t>
      </w:r>
      <w:r>
        <w:t xml:space="preserve">the</w:t>
      </w:r>
      <w:r>
        <w:t xml:space="preserve"> </w:t>
      </w:r>
      <w:r>
        <w:t xml:space="preserve">identification</w:t>
      </w:r>
      <w:r>
        <w:t xml:space="preserve"> </w:t>
      </w:r>
      <w:r>
        <w:t xml:space="preserve">of</w:t>
      </w:r>
      <w:r>
        <w:t xml:space="preserve"> </w:t>
      </w:r>
      <w:r>
        <w:t xml:space="preserve">interacting</w:t>
      </w:r>
      <w:r>
        <w:t xml:space="preserve"> </w:t>
      </w:r>
      <w:r>
        <w:t xml:space="preserve">relationships</w:t>
      </w:r>
      <w:r>
        <w:t xml:space="preserve"> </w:t>
      </w:r>
      <w:r>
        <w:t xml:space="preserve">of</w:t>
      </w:r>
      <w:r>
        <w:t xml:space="preserve"> </w:t>
      </w:r>
      <w:r>
        <w:t xml:space="preserve">variations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Here</w:t>
      </w:r>
      <w:r>
        <w:t xml:space="preserve"> </w:t>
      </w:r>
      <w:r>
        <w:t xml:space="preserve">I</w:t>
      </w:r>
      <w:r>
        <w:t xml:space="preserve"> </w:t>
      </w:r>
      <w:r>
        <w:t xml:space="preserve">propose</w:t>
      </w:r>
      <w:r>
        <w:t xml:space="preserve"> </w:t>
      </w:r>
      <w:r>
        <w:t xml:space="preserve">the</w:t>
      </w:r>
      <w:r>
        <w:t xml:space="preserve"> </w:t>
      </w:r>
      <w:r>
        <w:t xml:space="preserve">following</w:t>
      </w:r>
      <w:r>
        <w:t xml:space="preserve"> </w:t>
      </w:r>
      <w:r>
        <w:t xml:space="preserve">three</w:t>
      </w:r>
      <w:r>
        <w:t xml:space="preserve"> </w:t>
      </w:r>
      <w:r>
        <w:t xml:space="preserve">ontologically</w:t>
      </w:r>
      <w:r>
        <w:t xml:space="preserve"> </w:t>
      </w:r>
      <w:r>
        <w:t xml:space="preserve">and</w:t>
      </w:r>
      <w:r>
        <w:t xml:space="preserve"> </w:t>
      </w:r>
      <w:r>
        <w:t xml:space="preserve">epistemologically</w:t>
      </w:r>
      <w:r>
        <w:t xml:space="preserve"> </w:t>
      </w:r>
      <w:r>
        <w:t xml:space="preserve">based</w:t>
      </w:r>
      <w:r>
        <w:t xml:space="preserve"> </w:t>
      </w:r>
      <w:r>
        <w:t xml:space="preserve">principles</w:t>
      </w:r>
      <w:r>
        <w:t xml:space="preserve"> </w:t>
      </w:r>
      <w:r>
        <w:t xml:space="preserve">to</w:t>
      </w:r>
      <w:r>
        <w:t xml:space="preserve"> </w:t>
      </w:r>
      <w:r>
        <w:t xml:space="preserve">put</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into</w:t>
      </w:r>
      <w:r>
        <w:t xml:space="preserve"> </w:t>
      </w:r>
      <w:r>
        <w:t xml:space="preserve">practice:</w:t>
      </w:r>
      <w:r>
        <w:t xml:space="preserve"> </w:t>
      </w:r>
      <w:r>
        <w:t xml:space="preserve">1)</w:t>
      </w:r>
      <w:r>
        <w:t xml:space="preserve"> </w:t>
      </w:r>
      <w:r>
        <w:t xml:space="preserve">acknowledging</w:t>
      </w:r>
      <w:r>
        <w:t xml:space="preserve"> </w:t>
      </w:r>
      <w:r>
        <w:t xml:space="preserve">the</w:t>
      </w:r>
      <w:r>
        <w:t xml:space="preserve"> </w:t>
      </w:r>
      <w:r>
        <w:t xml:space="preserve">contribution</w:t>
      </w:r>
      <w:r>
        <w:t xml:space="preserve"> </w:t>
      </w:r>
      <w:r>
        <w:t xml:space="preserve">and</w:t>
      </w:r>
      <w:r>
        <w:t xml:space="preserve"> </w:t>
      </w:r>
      <w:r>
        <w:t xml:space="preserve">limitations</w:t>
      </w:r>
      <w:r>
        <w:t xml:space="preserve"> </w:t>
      </w:r>
      <w:r>
        <w:t xml:space="preserve">of</w:t>
      </w:r>
      <w:r>
        <w:t xml:space="preserve"> </w:t>
      </w:r>
      <w:r>
        <w:t xml:space="preserve">actualistic</w:t>
      </w:r>
      <w:r>
        <w:t xml:space="preserve"> </w:t>
      </w:r>
      <w:r>
        <w:t xml:space="preserve">experiments</w:t>
      </w:r>
      <w:r>
        <w:t xml:space="preserve"> </w:t>
      </w:r>
      <w:r>
        <w:t xml:space="preserve">in</w:t>
      </w:r>
      <w:r>
        <w:t xml:space="preserve"> </w:t>
      </w:r>
      <w:r>
        <w:t xml:space="preserve">the</w:t>
      </w:r>
      <w:r>
        <w:t xml:space="preserve"> </w:t>
      </w:r>
      <w:r>
        <w:t xml:space="preserve">trade-off</w:t>
      </w:r>
      <w:r>
        <w:t xml:space="preserve"> </w:t>
      </w:r>
      <w:r>
        <w:t xml:space="preserve">of</w:t>
      </w:r>
      <w:r>
        <w:t xml:space="preserve"> </w:t>
      </w:r>
      <w:r>
        <w:t xml:space="preserve">causality</w:t>
      </w:r>
      <w:r>
        <w:t xml:space="preserve"> </w:t>
      </w:r>
      <w:r>
        <w:t xml:space="preserve">and</w:t>
      </w:r>
      <w:r>
        <w:t xml:space="preserve"> </w:t>
      </w:r>
      <w:r>
        <w:t xml:space="preserve">generalizability;</w:t>
      </w:r>
      <w:r>
        <w:t xml:space="preserve"> </w:t>
      </w:r>
      <w:r>
        <w:t xml:space="preserve">2)</w:t>
      </w:r>
      <w:r>
        <w:t xml:space="preserve"> </w:t>
      </w:r>
      <w:r>
        <w:t xml:space="preserve">encouraging</w:t>
      </w:r>
      <w:r>
        <w:t xml:space="preserve"> </w:t>
      </w:r>
      <w:r>
        <w:t xml:space="preserve">collaborative</w:t>
      </w:r>
      <w:r>
        <w:t xml:space="preserve"> </w:t>
      </w:r>
      <w:r>
        <w:t xml:space="preserve">projects</w:t>
      </w:r>
      <w:r>
        <w:t xml:space="preserve"> </w:t>
      </w:r>
      <w:r>
        <w:t xml:space="preserve">that</w:t>
      </w:r>
      <w:r>
        <w:t xml:space="preserve"> </w:t>
      </w:r>
      <w:r>
        <w:t xml:space="preserve">involve</w:t>
      </w:r>
      <w:r>
        <w:t xml:space="preserve"> </w:t>
      </w:r>
      <w:r>
        <w:t xml:space="preserve">geographically</w:t>
      </w:r>
      <w:r>
        <w:t xml:space="preserve"> </w:t>
      </w:r>
      <w:r>
        <w:t xml:space="preserve">diverse</w:t>
      </w:r>
      <w:r>
        <w:t xml:space="preserve"> </w:t>
      </w:r>
      <w:r>
        <w:t xml:space="preserve">and</w:t>
      </w:r>
      <w:r>
        <w:t xml:space="preserve"> </w:t>
      </w:r>
      <w:r>
        <w:t xml:space="preserve">non-traditional</w:t>
      </w:r>
      <w:r>
        <w:t xml:space="preserve"> </w:t>
      </w:r>
      <w:r>
        <w:t xml:space="preserve">research</w:t>
      </w:r>
      <w:r>
        <w:t xml:space="preserve"> </w:t>
      </w:r>
      <w:r>
        <w:t xml:space="preserve">participants</w:t>
      </w:r>
      <w:r>
        <w:t xml:space="preserve"> </w:t>
      </w:r>
      <w:r>
        <w:t xml:space="preserve">such</w:t>
      </w:r>
      <w:r>
        <w:t xml:space="preserve"> </w:t>
      </w:r>
      <w:r>
        <w:t xml:space="preserve">as</w:t>
      </w:r>
      <w:r>
        <w:t xml:space="preserve"> </w:t>
      </w:r>
      <w:r>
        <w:t xml:space="preserve">hobbyists</w:t>
      </w:r>
      <w:r>
        <w:t xml:space="preserve"> </w:t>
      </w:r>
      <w:r>
        <w:t xml:space="preserve">and</w:t>
      </w:r>
      <w:r>
        <w:t xml:space="preserve"> </w:t>
      </w:r>
      <w:r>
        <w:t xml:space="preserve">novices;</w:t>
      </w:r>
      <w:r>
        <w:t xml:space="preserve"> </w:t>
      </w:r>
      <w:r>
        <w:t xml:space="preserve">3)</w:t>
      </w:r>
      <w:r>
        <w:t xml:space="preserve"> </w:t>
      </w:r>
      <w:r>
        <w:t xml:space="preserve">adopting</w:t>
      </w:r>
      <w:r>
        <w:t xml:space="preserve"> </w:t>
      </w:r>
      <w:r>
        <w:t xml:space="preserve">a</w:t>
      </w:r>
      <w:r>
        <w:t xml:space="preserve"> </w:t>
      </w:r>
      <w:r>
        <w:t xml:space="preserve">workflow</w:t>
      </w:r>
      <w:r>
        <w:t xml:space="preserve"> </w:t>
      </w:r>
      <w:r>
        <w:t xml:space="preserve">that</w:t>
      </w:r>
      <w:r>
        <w:t xml:space="preserve"> </w:t>
      </w:r>
      <w:r>
        <w:t xml:space="preserve">normalizes</w:t>
      </w:r>
      <w:r>
        <w:t xml:space="preserve"> </w:t>
      </w:r>
      <w:r>
        <w:t xml:space="preserve">the</w:t>
      </w:r>
      <w:r>
        <w:t xml:space="preserve"> </w:t>
      </w:r>
      <w:r>
        <w:t xml:space="preserve">collection</w:t>
      </w:r>
      <w:r>
        <w:t xml:space="preserve"> </w:t>
      </w:r>
      <w:r>
        <w:t xml:space="preserve">and</w:t>
      </w:r>
      <w:r>
        <w:t xml:space="preserve"> </w:t>
      </w:r>
      <w:r>
        <w:t xml:space="preserve">curation</w:t>
      </w:r>
      <w:r>
        <w:t xml:space="preserve"> </w:t>
      </w:r>
      <w:r>
        <w:t xml:space="preserve">of</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in</w:t>
      </w:r>
      <w:r>
        <w:t xml:space="preserve"> </w:t>
      </w:r>
      <w:r>
        <w:t xml:space="preserve">experimental</w:t>
      </w:r>
      <w:r>
        <w:t xml:space="preserve"> </w:t>
      </w:r>
      <w:r>
        <w:t xml:space="preserve">projects.</w:t>
      </w:r>
      <w:r>
        <w:br/>
      </w:r>
      <w:r>
        <w:br/>
      </w:r>
      <w:r>
        <w:t xml:space="preserve"> Keywords:</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Ethnographical</w:t>
      </w:r>
      <w:r>
        <w:t xml:space="preserve"> </w:t>
      </w:r>
      <w:r>
        <w:t xml:space="preserve">analysis;</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bookmarkStart w:id="22" w:name="introduction"/>
    <w:p>
      <w:pPr>
        <w:pStyle w:val="Heading1"/>
      </w:pPr>
      <w:r>
        <w:t xml:space="preserve">Introduction</w:t>
      </w:r>
    </w:p>
    <w:p>
      <w:pPr>
        <w:pStyle w:val="FirstParagraph"/>
      </w:pPr>
      <w:r>
        <w:t xml:space="preserve">This paper presents the Perception-Process-Product (hereinafter referred to as</w:t>
      </w:r>
      <w:r>
        <w:t xml:space="preserve"> </w:t>
      </w:r>
      <w:r>
        <w:t xml:space="preserve">‘</w:t>
      </w:r>
      <w:r>
        <w:t xml:space="preserve">Triple P</w:t>
      </w:r>
      <w:r>
        <w:t xml:space="preserve">’</w:t>
      </w:r>
      <w:r>
        <w:t xml:space="preserve">) conceptual framework to expand the scope of experimental archaeology. Adopting the principle of Occam’s razor</w:t>
      </w:r>
      <w:r>
        <w:t xml:space="preserve"> </w:t>
      </w:r>
      <w:r>
        <w:t xml:space="preserve">(e.g.,</w:t>
      </w:r>
      <w:r>
        <w:t xml:space="preserve"> </w:t>
      </w:r>
      <w:hyperlink w:anchor="ref-domínguez-rodrigo2008">
        <w:r>
          <w:rPr>
            <w:rStyle w:val="Hyperlink"/>
          </w:rPr>
          <w:t xml:space="preserve">Domínguez-Rodrigo, 2008</w:t>
        </w:r>
      </w:hyperlink>
      <w:r>
        <w:t xml:space="preserve">;</w:t>
      </w:r>
      <w:r>
        <w:t xml:space="preserve"> </w:t>
      </w:r>
      <w:hyperlink w:anchor="ref-reeves2009">
        <w:r>
          <w:rPr>
            <w:rStyle w:val="Hyperlink"/>
          </w:rPr>
          <w:t xml:space="preserve">Reeves et al., 2009</w:t>
        </w:r>
      </w:hyperlink>
      <w:r>
        <w:t xml:space="preserve">)</w:t>
      </w:r>
      <w:r>
        <w:t xml:space="preserve">, whether explicitly or implicitly, the field of experimental archaeology has long tended to center around the reverse engineering of a past technology in a minimal or least-effort manner while ignoring the rich contextual information it affords. Nevertheless, Occam’s razor, this very cornerstone of our field, can be insufficient to infer the preferences of irrational agents possessing incomplete information</w:t>
      </w:r>
      <w:r>
        <w:t xml:space="preserve"> </w:t>
      </w:r>
      <w:r>
        <w:t xml:space="preserve">(</w:t>
      </w:r>
      <w:hyperlink w:anchor="ref-armstrong2018">
        <w:r>
          <w:rPr>
            <w:rStyle w:val="Hyperlink"/>
          </w:rPr>
          <w:t xml:space="preserve">Mindermann &amp; Armstrong, 2018</w:t>
        </w:r>
      </w:hyperlink>
      <w:r>
        <w:t xml:space="preserve">)</w:t>
      </w:r>
      <w:r>
        <w:t xml:space="preserve"> </w:t>
      </w:r>
      <w:r>
        <w:t xml:space="preserve">in tool design and use, and the two conditions described here provide a better approximation of past humans displaying extensive cultural variation as opposed to the assumption of omniscient</w:t>
      </w:r>
      <w:r>
        <w:t xml:space="preserve"> </w:t>
      </w:r>
      <w:r>
        <w:rPr>
          <w:iCs/>
          <w:i/>
        </w:rPr>
        <w:t xml:space="preserve">Homo economicus</w:t>
      </w:r>
      <w:r>
        <w:t xml:space="preserve"> </w:t>
      </w:r>
      <w:r>
        <w:t xml:space="preserve">for most anthropologists</w:t>
      </w:r>
      <w:r>
        <w:t xml:space="preserve"> </w:t>
      </w:r>
      <w:r>
        <w:t xml:space="preserve">(</w:t>
      </w:r>
      <w:hyperlink w:anchor="ref-henrichSearchHomoEconomicus2001">
        <w:r>
          <w:rPr>
            <w:rStyle w:val="Hyperlink"/>
          </w:rPr>
          <w:t xml:space="preserve">Henrich et al., 2001</w:t>
        </w:r>
      </w:hyperlink>
      <w:r>
        <w:t xml:space="preserve">)</w:t>
      </w:r>
      <w:r>
        <w:t xml:space="preserve">. In the evolution of technology, it is rather common that opaque causal perception and its resulting tendency of over-imitation</w:t>
      </w:r>
      <w:r>
        <w:t xml:space="preserve"> </w:t>
      </w:r>
      <w:r>
        <w:t xml:space="preserve">(e.g., Sylvia’s Recipe,</w:t>
      </w:r>
      <w:r>
        <w:t xml:space="preserve"> </w:t>
      </w:r>
      <w:hyperlink w:anchor="ref-gergely2006">
        <w:r>
          <w:rPr>
            <w:rStyle w:val="Hyperlink"/>
          </w:rPr>
          <w:t xml:space="preserve">Gergely &amp; Csibra, 2006</w:t>
        </w:r>
      </w:hyperlink>
      <w:r>
        <w:t xml:space="preserve">)</w:t>
      </w:r>
      <w:r>
        <w:t xml:space="preserve"> </w:t>
      </w:r>
      <w:r>
        <w:t xml:space="preserve">together with path dependence</w:t>
      </w:r>
      <w:r>
        <w:t xml:space="preserve"> </w:t>
      </w:r>
      <w:r>
        <w:t xml:space="preserve">(e.g., QUERTY keyboard design,</w:t>
      </w:r>
      <w:r>
        <w:t xml:space="preserve"> </w:t>
      </w:r>
      <w:hyperlink w:anchor="ref-kafaee2022">
        <w:r>
          <w:rPr>
            <w:rStyle w:val="Hyperlink"/>
          </w:rPr>
          <w:t xml:space="preserve">Kafaee et al., 2022</w:t>
        </w:r>
      </w:hyperlink>
      <w:r>
        <w:t xml:space="preserve">)</w:t>
      </w:r>
      <w:r>
        <w:t xml:space="preserve"> </w:t>
      </w:r>
      <w:r>
        <w:t xml:space="preserve">can lead to the widespread and long-lasting reproduction of technological solutions that are neither optimal in terms of functional efficiency nor minimal in terms of manufacture complexity.</w:t>
      </w:r>
    </w:p>
    <w:p>
      <w:pPr>
        <w:pStyle w:val="BodyText"/>
      </w:pPr>
      <w:r>
        <w:t xml:space="preserve">Built upon the</w:t>
      </w:r>
      <w:r>
        <w:t xml:space="preserve"> </w:t>
      </w:r>
      <w:r>
        <w:rPr>
          <w:iCs/>
          <w:i/>
        </w:rPr>
        <w:t xml:space="preserve">Homo economicus</w:t>
      </w:r>
      <w:r>
        <w:t xml:space="preserve"> </w:t>
      </w:r>
      <w:r>
        <w:t xml:space="preserve">critique and early works in behavioural archaeology</w:t>
      </w:r>
      <w:r>
        <w:t xml:space="preserve"> </w:t>
      </w:r>
      <w:r>
        <w:t xml:space="preserve">(</w:t>
      </w:r>
      <w:hyperlink w:anchor="ref-schiffer2010">
        <w:r>
          <w:rPr>
            <w:rStyle w:val="Hyperlink"/>
          </w:rPr>
          <w:t xml:space="preserve">Schiffer, 2010</w:t>
        </w:r>
      </w:hyperlink>
      <w:r>
        <w:t xml:space="preserve">)</w:t>
      </w:r>
      <w:r>
        <w:t xml:space="preserve">, here I propose the Triple P framework, which aims to</w:t>
      </w:r>
      <w:r>
        <w:t xml:space="preserve"> </w:t>
      </w:r>
      <w:r>
        <w:rPr>
          <w:bCs/>
          <w:b/>
        </w:rPr>
        <w:t xml:space="preserve">a)</w:t>
      </w:r>
      <w:r>
        <w:t xml:space="preserve"> </w:t>
      </w:r>
      <w:r>
        <w:t xml:space="preserve">amplify the expression of variation in experimental replicas (product) and their associated behavioural channels (process) as well as sensory experiences (perception) by experiments in diverse contexts and</w:t>
      </w:r>
      <w:r>
        <w:t xml:space="preserve"> </w:t>
      </w:r>
      <w:r>
        <w:rPr>
          <w:bCs/>
          <w:b/>
        </w:rPr>
        <w:t xml:space="preserve">b)</w:t>
      </w:r>
      <w:r>
        <w:t xml:space="preserve"> </w:t>
      </w:r>
      <w:r>
        <w:t xml:space="preserve">better identify the complex interacting relationships across these three levels of variations in real-world conditions. To accomplish these two objectives, I advocate the following three principles as integral components of the Triple P framework. Ontologically speaking, it requires 1) acknowledging the contribution and limitations of actualistic experiments in the trade-off of causality and generalizability and 2) 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w:t>
      </w:r>
      <w:r>
        <w:t xml:space="preserve"> </w:t>
      </w:r>
      <w:r>
        <w:t xml:space="preserve">(</w:t>
      </w:r>
      <w:hyperlink w:anchor="ref-antón2017">
        <w:r>
          <w:rPr>
            <w:rStyle w:val="Hyperlink"/>
          </w:rPr>
          <w:t xml:space="preserve">Antón &amp; Kuzawa, 2017</w:t>
        </w:r>
      </w:hyperlink>
      <w:r>
        <w:t xml:space="preserve">)</w:t>
      </w:r>
      <w:r>
        <w:t xml:space="preserve"> </w:t>
      </w:r>
      <w:r>
        <w:t xml:space="preserve">to cognitive science</w:t>
      </w:r>
      <w:r>
        <w:t xml:space="preserve"> </w:t>
      </w:r>
      <w:r>
        <w:t xml:space="preserve">(</w:t>
      </w:r>
      <w:hyperlink w:anchor="ref-barrett2020">
        <w:r>
          <w:rPr>
            <w:rStyle w:val="Hyperlink"/>
          </w:rPr>
          <w:t xml:space="preserve">Barrett, 2020</w:t>
        </w:r>
      </w:hyperlink>
      <w:r>
        <w:t xml:space="preserve">)</w:t>
      </w:r>
      <w:r>
        <w:t xml:space="preserve">, instead of treating the optimization-based research agenda as a panacea. Epistemologically speaking, the Triple P framework 3) adopts a workflow that normalizes the collection and curation of ethological and ethnographic data in experimental projects. There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Schmidt &amp; Marwick, 2020</w:t>
        </w:r>
      </w:hyperlink>
      <w:r>
        <w:t xml:space="preserve">)</w:t>
      </w:r>
      <w:r>
        <w:t xml:space="preserve">. Here I will mainly leverage the extensive corpus in experimental designs and inferences revolving around stone artefacts to clarify its meaning and demonstrate the necessity and potential of this framework.</w:t>
      </w:r>
    </w:p>
    <w:bookmarkEnd w:id="22"/>
    <w:bookmarkStart w:id="23" w:name="what-good-is-actualistic-experimentation"/>
    <w:p>
      <w:pPr>
        <w:pStyle w:val="Heading1"/>
      </w:pPr>
      <w:r>
        <w:t xml:space="preserve">What good is actualistic experimentation?</w:t>
      </w:r>
    </w:p>
    <w:p>
      <w:pPr>
        <w:pStyle w:val="FirstParagraph"/>
      </w:pPr>
      <w:r>
        <w:t xml:space="preserve">The trade-off between causality (aka</w:t>
      </w:r>
      <w:r>
        <w:t xml:space="preserve"> </w:t>
      </w:r>
      <w:r>
        <w:t xml:space="preserve">‘</w:t>
      </w:r>
      <w:r>
        <w:t xml:space="preserve">internal validity</w:t>
      </w:r>
      <w:r>
        <w:t xml:space="preserve">’</w:t>
      </w:r>
      <w:r>
        <w:t xml:space="preserve">) and generalizability (aka</w:t>
      </w:r>
      <w:r>
        <w:t xml:space="preserve"> </w:t>
      </w:r>
      <w:r>
        <w:t xml:space="preserve">‘</w:t>
      </w:r>
      <w:r>
        <w:t xml:space="preserve">external validity</w:t>
      </w:r>
      <w:r>
        <w:t xml:space="preserve">’</w:t>
      </w:r>
      <w:r>
        <w:t xml:space="preserve">) forms a central issue in experimental design across different disciplines</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In fields known for their development of rigorous and well-controlled experimental methods such as cognitive psychology and neuroscience, researchers have started to use naturalistic stimuli more frequently and advocate a paradigm shift to semi-controlled experiments</w:t>
      </w:r>
      <w:r>
        <w:t xml:space="preserve"> </w:t>
      </w:r>
      <w:r>
        <w:t xml:space="preserve">(</w:t>
      </w:r>
      <w:hyperlink w:anchor="ref-nastase2020">
        <w:r>
          <w:rPr>
            <w:rStyle w:val="Hyperlink"/>
          </w:rPr>
          <w:t xml:space="preserve">Nastase et al., 2020</w:t>
        </w:r>
      </w:hyperlink>
      <w:r>
        <w:t xml:space="preserve">;</w:t>
      </w:r>
      <w:r>
        <w:t xml:space="preserve"> </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w:t>
      </w:r>
      <w:hyperlink w:anchor="ref-yarkoni2022">
        <w:r>
          <w:rPr>
            <w:rStyle w:val="Hyperlink"/>
          </w:rPr>
          <w:t xml:space="preserve">Yarkoni, 2022</w:t>
        </w:r>
      </w:hyperlink>
      <w:r>
        <w:t xml:space="preserve">)</w:t>
      </w:r>
      <w:r>
        <w:t xml:space="preserve">. In contrast, the past decades have witnessed experimental archaeology’s growing research interests focusing on the causal mechanism at the behavioural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In the context of stone artefact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artefact manufacture and use through the identification of multiple groups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In addition to the applications of machine knapping, the same problem is also incurred by the introduction of standardized artificial material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in experimental studies focusing on the transmission of lithic technologies</w:t>
      </w:r>
      <w:r>
        <w:t xml:space="preserve"> </w:t>
      </w:r>
      <w:r>
        <w:t xml:space="preserve">(</w:t>
      </w:r>
      <w:hyperlink w:anchor="ref-liu2023">
        <w:r>
          <w:rPr>
            <w:rStyle w:val="Hyperlink"/>
          </w:rPr>
          <w:t xml:space="preserve">Liu et al., 2023</w:t>
        </w:r>
      </w:hyperlink>
      <w:r>
        <w:t xml:space="preserve">)</w:t>
      </w:r>
      <w:r>
        <w:t xml:space="preserve">. In reality, each rock has a different shape and often different physical properties such as inner cracks and inclusions, and this heterogeneity itself represents a critical variable in cultural transmission and skill development</w:t>
      </w:r>
      <w:r>
        <w:t xml:space="preserve"> </w:t>
      </w:r>
      <w:r>
        <w:t xml:space="preserve">(</w:t>
      </w:r>
      <w:hyperlink w:anchor="ref-proffitt2022">
        <w:r>
          <w:rPr>
            <w:rStyle w:val="Hyperlink"/>
          </w:rPr>
          <w:t xml:space="preserve">Proffitt et al., 2022</w:t>
        </w:r>
      </w:hyperlink>
      <w:r>
        <w:t xml:space="preserve">)</w:t>
      </w:r>
      <w:r>
        <w:t xml:space="preserve">. After all, these experimental results can only be as robust as their experimental settings.</w:t>
      </w:r>
    </w:p>
    <w:p>
      <w:pPr>
        <w:pStyle w:val="BodyText"/>
      </w:pPr>
      <w:r>
        <w:t xml:space="preserve">On the other hand, actualistic experiments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an actualistic experiment would involve the use of natural rocks with varied morphology instead of standardized artificial materials as well as human demonstrators instead of videos of knapping instruction, despite the fact that the latter will remain consistent across individuals. Unlike controlled experiments, variation could be easily observed in actualistic experiments by design. This feature is crucial and cannot be simply replaced by ethnographic records, because many palaeolithic technological components do not have analogues in contemporary non-industrial societies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Furthermore, statistical techniques for developing causal inference from observational data, which essentially represent the nature of results from actualistic experiments, have also been greatly boosted in epidemiology and economics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Lastly, actualistic experiment can serve as a heuristic for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who proposed that the interaction between actualistic and controlled experiment</w:t>
      </w:r>
      <w:r>
        <w:t xml:space="preserve"> </w:t>
      </w:r>
      <w:r>
        <w:t xml:space="preserve">“</w:t>
      </w:r>
      <w:r>
        <w:t xml:space="preserve">operates in a cyclical form of induction and deduction.</w:t>
      </w:r>
      <w:r>
        <w:t xml:space="preserve">”</w:t>
      </w:r>
    </w:p>
    <w:bookmarkEnd w:id="23"/>
    <w:bookmarkStart w:id="24" w:name="many-places-many-voices"/>
    <w:p>
      <w:pPr>
        <w:pStyle w:val="Heading1"/>
      </w:pPr>
      <w:r>
        <w:t xml:space="preserve">Many places, many voices</w:t>
      </w:r>
    </w:p>
    <w:p>
      <w:pPr>
        <w:pStyle w:val="FirstParagraph"/>
      </w:pPr>
      <w:r>
        <w:t xml:space="preserve">Contemporary practices in experimental archaeology, as manifested by the fact that a majority of scholarly publications are produced as results of experiments conducted by a single knapper with a dual identity of researcher</w:t>
      </w:r>
      <w:r>
        <w:t xml:space="preserve"> </w:t>
      </w:r>
      <w:r>
        <w:t xml:space="preserve">(</w:t>
      </w:r>
      <w:hyperlink w:anchor="ref-whittaker2004">
        <w:r>
          <w:rPr>
            <w:rStyle w:val="Hyperlink"/>
          </w:rPr>
          <w:t xml:space="preserve">Whittaker, 2004</w:t>
        </w:r>
      </w:hyperlink>
      <w:r>
        <w:t xml:space="preserve">)</w:t>
      </w:r>
      <w:r>
        <w:t xml:space="preserve">,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This psychological term originally refers to the phenomenon that it is extremely challenging for experts to ignore the information that is held by them but not others, particularly novices</w:t>
      </w:r>
      <w:r>
        <w:t xml:space="preserve"> </w:t>
      </w:r>
      <w:r>
        <w:t xml:space="preserve">(</w:t>
      </w:r>
      <w:hyperlink w:anchor="ref-hinds1999">
        <w:r>
          <w:rPr>
            <w:rStyle w:val="Hyperlink"/>
          </w:rPr>
          <w:t xml:space="preserve">Hinds, 1999</w:t>
        </w:r>
      </w:hyperlink>
      <w:r>
        <w:t xml:space="preserve">)</w:t>
      </w:r>
      <w:r>
        <w:t xml:space="preserve">,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w:t>
      </w:r>
      <w:r>
        <w:t xml:space="preserve"> </w:t>
      </w:r>
      <w:r>
        <w:t xml:space="preserve">(</w:t>
      </w:r>
      <w:hyperlink w:anchor="ref-moore2020">
        <w:r>
          <w:rPr>
            <w:rStyle w:val="Hyperlink"/>
          </w:rPr>
          <w:t xml:space="preserve">Moore, 2020</w:t>
        </w:r>
      </w:hyperlink>
      <w:r>
        <w:t xml:space="preserve">: 654)</w:t>
      </w:r>
      <w:r>
        <w:t xml:space="preserve">.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huge range of technological diversity.</w:t>
      </w:r>
    </w:p>
    <w:p>
      <w:pPr>
        <w:pStyle w:val="BodyText"/>
      </w:pPr>
      <w:r>
        <w:t xml:space="preserve">Modern flintknapping techniques, as a research subject and a scientific method, originated from hobbyists’ individualistic trials of reverse engineering during the 19th century</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whittaker1994">
        <w:r>
          <w:rPr>
            <w:rStyle w:val="Hyperlink"/>
          </w:rPr>
          <w:t xml:space="preserve">Whittaker, 1994</w:t>
        </w:r>
      </w:hyperlink>
      <w:r>
        <w:t xml:space="preserve">: 54-61)</w:t>
      </w:r>
      <w:r>
        <w:t xml:space="preserve">. Hobbyist knappers represent a huge repertoire of technological knowledge that does not fully overlap with what is acquired by academic knappers. They tend to come up with ideas that may appear to be counter-intuitive at first glance for academics. One such example is the utility of obtuse edge angle as demonstrated by Don Crabtree</w:t>
      </w:r>
      <w:r>
        <w:t xml:space="preserve"> </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famous 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p>
      <w:pPr>
        <w:pStyle w:val="BodyText"/>
      </w:pPr>
      <w:r>
        <w:t xml:space="preserve">Emphasizing variation at its core, the Triple P conceptual framework recognizes that experimental archaeology can greatly benefit from diverse perspectives</w:t>
      </w:r>
      <w:r>
        <w:t xml:space="preserve"> </w:t>
      </w:r>
      <w:r>
        <w:t xml:space="preserve">(</w:t>
      </w:r>
      <w:hyperlink w:anchor="ref-pargeter2023">
        <w:r>
          <w:rPr>
            <w:rStyle w:val="Hyperlink"/>
          </w:rPr>
          <w:t xml:space="preserve">Pargeter et al., 2023</w:t>
        </w:r>
      </w:hyperlink>
      <w:r>
        <w:t xml:space="preserve">: 164)</w:t>
      </w:r>
      <w:r>
        <w:t xml:space="preserve"> </w:t>
      </w:r>
      <w:r>
        <w:t xml:space="preserve">and thereby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3">
        <w:r>
          <w:rPr>
            <w:rStyle w:val="Hyperlink"/>
          </w:rPr>
          <w:t xml:space="preserve">Timbrell, 2023</w:t>
        </w:r>
      </w:hyperlink>
      <w:r>
        <w:t xml:space="preserve">)</w:t>
      </w:r>
      <w:r>
        <w:t xml:space="preserve"> </w:t>
      </w:r>
      <w:r>
        <w:t xml:space="preserve">of stone artefacts. Furthermore, the Triple P framework acknowledges that communities living in specific geographical areas possess unique insights and understanding of their cultural heritage. This emphasis on team efforts and inclusivity allows for a more nuanced understanding of the complexities of raw material procurement</w:t>
      </w:r>
      <w:r>
        <w:t xml:space="preserve"> </w:t>
      </w:r>
      <w:r>
        <w:t xml:space="preserve">(</w:t>
      </w:r>
      <w:hyperlink w:anchor="ref-batalla2016">
        <w:r>
          <w:rPr>
            <w:rStyle w:val="Hyperlink"/>
          </w:rPr>
          <w:t xml:space="preserve">Batalla, 2016</w:t>
        </w:r>
      </w:hyperlink>
      <w:r>
        <w:t xml:space="preserve">)</w:t>
      </w:r>
      <w:r>
        <w:t xml:space="preserve">,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r>
        <w:t xml:space="preserve">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montgomery2023">
        <w:r>
          <w:rPr>
            <w:rStyle w:val="Hyperlink"/>
          </w:rPr>
          <w:t xml:space="preserve">Montgomery &amp; Fryer, 2023</w:t>
        </w:r>
      </w:hyperlink>
      <w:r>
        <w:t xml:space="preserve">)</w:t>
      </w:r>
      <w:r>
        <w:t xml:space="preserve">.</w:t>
      </w:r>
    </w:p>
    <w:bookmarkEnd w:id="24"/>
    <w:bookmarkStart w:id="35" w:name="the-triple-p-framework-in-action"/>
    <w:p>
      <w:pPr>
        <w:pStyle w:val="Heading1"/>
      </w:pPr>
      <w:r>
        <w:t xml:space="preserve">The Triple P framework in action</w:t>
      </w:r>
    </w:p>
    <w:p>
      <w:pPr>
        <w:pStyle w:val="FirstParagraph"/>
      </w:pPr>
      <w:r>
        <w:t xml:space="preserve">As implied in its name, 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behavioural processes and intentions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behavioural mechanisms behind a given archaeological assemblage</w:t>
      </w:r>
      <w:r>
        <w:t xml:space="preserve"> </w:t>
      </w:r>
      <w:r>
        <w:t xml:space="preserve">(</w:t>
      </w:r>
      <w:hyperlink w:anchor="ref-reynolds1999">
        <w:r>
          <w:rPr>
            <w:rStyle w:val="Hyperlink"/>
          </w:rPr>
          <w:t xml:space="preserve">Reynolds, 1999</w:t>
        </w:r>
      </w:hyperlink>
      <w:r>
        <w:t xml:space="preserve">;</w:t>
      </w:r>
      <w:r>
        <w:t xml:space="preserve"> </w:t>
      </w:r>
      <w:hyperlink w:anchor="ref-stout2023">
        <w:r>
          <w:rPr>
            <w:rStyle w:val="Hyperlink"/>
          </w:rPr>
          <w:t xml:space="preserve">Stout &amp; Hecht, 2023</w:t>
        </w:r>
      </w:hyperlink>
      <w:r>
        <w:t xml:space="preserve">)</w:t>
      </w:r>
      <w:r>
        <w:t xml:space="preserve">. The importance of specifying and documenting the context information of both the experiment as well as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4267200" cy="2454337"/>
            <wp:effectExtent b="0" l="0" r="0" t="0"/>
            <wp:docPr descr="A schematic diagram demonstrating how to operationalize the Perception-Process-Product conceptual framework." title="" id="26" name="Picture"/>
            <a:graphic>
              <a:graphicData uri="http://schemas.openxmlformats.org/drawingml/2006/picture">
                <pic:pic>
                  <pic:nvPicPr>
                    <pic:cNvPr descr="C:/FilesVC/PPP-framework/figure/Fig1.jpg" id="27" name="Picture"/>
                    <pic:cNvPicPr>
                      <a:picLocks noChangeArrowheads="1" noChangeAspect="1"/>
                    </pic:cNvPicPr>
                  </pic:nvPicPr>
                  <pic:blipFill>
                    <a:blip r:embed="rId25"/>
                    <a:stretch>
                      <a:fillRect/>
                    </a:stretch>
                  </pic:blipFill>
                  <pic:spPr bwMode="auto">
                    <a:xfrm>
                      <a:off x="0" y="0"/>
                      <a:ext cx="4267200" cy="2454337"/>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bookmarkStart w:id="28" w:name="product-level-data"/>
    <w:p>
      <w:pPr>
        <w:pStyle w:val="Heading2"/>
      </w:pPr>
      <w:r>
        <w:t xml:space="preserve">Product-level data</w:t>
      </w:r>
    </w:p>
    <w:p>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or photos and illustrations, or high-resolution 3D scans of individual artefact or a whole assemblage. No particular modification regarding the collection procedure of product-level data is required in the context of the Triple P framework, although it should be emphasized that the definition of variables measured and the documentation techniques (models of camera/scanners, light setting, processing software version and workflow, etc.) should be always available in the relevant meta-data. Adopting good habits in spreadsheet data organization is also strongly recommended</w:t>
      </w:r>
      <w:r>
        <w:t xml:space="preserve"> </w:t>
      </w:r>
      <w:r>
        <w:t xml:space="preserve">(</w:t>
      </w:r>
      <w:hyperlink w:anchor="ref-broman2018">
        <w:r>
          <w:rPr>
            <w:rStyle w:val="Hyperlink"/>
          </w:rPr>
          <w:t xml:space="preserve">Broman &amp; Woo, 2018</w:t>
        </w:r>
      </w:hyperlink>
      <w:r>
        <w:t xml:space="preserve">)</w:t>
      </w:r>
      <w:r>
        <w:t xml:space="preserve">.</w:t>
      </w:r>
    </w:p>
    <w:bookmarkEnd w:id="28"/>
    <w:bookmarkStart w:id="32" w:name="process-level-data"/>
    <w:p>
      <w:pPr>
        <w:pStyle w:val="Heading2"/>
      </w:pPr>
      <w:r>
        <w:t xml:space="preserve">Process-level data</w:t>
      </w:r>
    </w:p>
    <w:p>
      <w:pPr>
        <w:pStyle w:val="FirstParagraph"/>
      </w:pPr>
      <w:r>
        <w:t xml:space="preserve">While systematic behavioural coding methods that are widely used in the study of non-human animal behaviour</w:t>
      </w:r>
      <w:r>
        <w:t xml:space="preserve"> </w:t>
      </w:r>
      <w:r>
        <w:t xml:space="preserve">(</w:t>
      </w:r>
      <w:hyperlink w:anchor="ref-fragaszy2018">
        <w:r>
          <w:rPr>
            <w:rStyle w:val="Hyperlink"/>
          </w:rPr>
          <w:t xml:space="preserve">Fragaszy &amp; Mangalam, 2018</w:t>
        </w:r>
      </w:hyperlink>
      <w:r>
        <w:t xml:space="preserve">)</w:t>
      </w:r>
      <w:r>
        <w:t xml:space="preserve"> </w:t>
      </w:r>
      <w:r>
        <w:t xml:space="preserve">still largely neglected among archaeologists, the attempts of reconstructing behavioural sequences involved in the manufacture of material remains are not infrequent. One such example is cognigram, which was first systematically developed and applied in the archaeological research by Haidle</w:t>
      </w:r>
      <w:r>
        <w:t xml:space="preserve"> </w:t>
      </w:r>
      <w:r>
        <w:t xml:space="preserve">(</w:t>
      </w:r>
      <w:hyperlink w:anchor="ref-haidleHowThinkSimple2009">
        <w:r>
          <w:rPr>
            <w:rStyle w:val="Hyperlink"/>
          </w:rPr>
          <w:t xml:space="preserve">Haidle, 2009</w:t>
        </w:r>
      </w:hyperlink>
      <w:r>
        <w:t xml:space="preserve">,</w:t>
      </w:r>
      <w:r>
        <w:t xml:space="preserve"> </w:t>
      </w:r>
      <w:hyperlink w:anchor="ref-haidle2014">
        <w:r>
          <w:rPr>
            <w:rStyle w:val="Hyperlink"/>
          </w:rPr>
          <w:t xml:space="preserve">2014</w:t>
        </w:r>
      </w:hyperlink>
      <w:r>
        <w:t xml:space="preserve">)</w:t>
      </w:r>
      <w:r>
        <w:t xml:space="preserve">. Cognigram is a graphical representation of the reconstructed behaviour behind archaeological artefacts in chronological order of appearance</w:t>
      </w:r>
      <w:r>
        <w:t xml:space="preserve"> </w:t>
      </w:r>
      <w:r>
        <w:t xml:space="preserve">(</w:t>
      </w:r>
      <w:hyperlink w:anchor="ref-haidle2014">
        <w:r>
          <w:rPr>
            <w:rStyle w:val="Hyperlink"/>
          </w:rPr>
          <w:t xml:space="preserve">Haidle, 2014</w:t>
        </w:r>
      </w:hyperlink>
      <w:r>
        <w:t xml:space="preserve">)</w:t>
      </w:r>
      <w:r>
        <w:t xml:space="preserve">, which essentially represents an abstracting process of a series of action sequences achieving a similar goal. This approach is a powerful and elegant yet limited by its normative and analytical orientation, meaning it cannot handle variation very well. To some extent, it describes the minimal steps to achieve a goal from the perspective of reverse engineering and assumes clear causal thinking between each step in an idealistic manner. However, this may be biased given that ethnographic studies demonstrated that expert practitioners in traditional societies can have a different set of causal perception on how certain behaviours will modify the raw materials</w:t>
      </w:r>
      <w:r>
        <w:t xml:space="preserve"> </w:t>
      </w:r>
      <w:r>
        <w:t xml:space="preserve">(</w:t>
      </w:r>
      <w:hyperlink w:anchor="ref-harris2021">
        <w:r>
          <w:rPr>
            <w:rStyle w:val="Hyperlink"/>
          </w:rPr>
          <w:t xml:space="preserve">Harris et al., 2021</w:t>
        </w:r>
      </w:hyperlink>
      <w:r>
        <w:t xml:space="preserve">)</w:t>
      </w:r>
      <w:r>
        <w:t xml:space="preserve">.</w:t>
      </w:r>
    </w:p>
    <w:p>
      <w:pPr>
        <w:pStyle w:val="BodyText"/>
      </w:pPr>
      <w:r>
        <w:t xml:space="preserve">Consequently, we need to accumulate more real-world data by recording a large amount videos of toolmaking and conducting systematic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I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 </w:t>
      </w:r>
      <w:r>
        <w:t xml:space="preserve">or granularity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w:t>
      </w:r>
      <w:hyperlink w:anchor="ref-roux2005">
        <w:r>
          <w:rPr>
            <w:rStyle w:val="Hyperlink"/>
          </w:rPr>
          <w:t xml:space="preserve">Roux &amp; David, 2005</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a handaxe knapping session using the BORIS software." title="" id="30" name="Picture"/>
            <a:graphic>
              <a:graphicData uri="http://schemas.openxmlformats.org/drawingml/2006/picture">
                <pic:pic>
                  <pic:nvPicPr>
                    <pic:cNvPr descr="C:/FilesVC/PPP-framework/figure/Fig2.jpg" id="31" name="Picture"/>
                    <pic:cNvPicPr>
                      <a:picLocks noChangeArrowheads="1" noChangeAspect="1"/>
                    </pic:cNvPicPr>
                  </pic:nvPicPr>
                  <pic:blipFill>
                    <a:blip r:embed="rId29"/>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a handaxe knapping session using the BORIS software.</w:t>
      </w:r>
    </w:p>
    <w:p>
      <w:pPr>
        <w:pStyle w:val="TableCaption"/>
      </w:pPr>
      <w:r>
        <w:t xml:space="preserve">A modified version of the original action grammar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jc w:val="start"/>
        <w:tblCaption w:val="A modified version of the original action grammar presented in (Stout et al., 2021)"/>
      </w:tblPr>
      <w:tblGrid>
        <w:gridCol w:w="841"/>
        <w:gridCol w:w="7078"/>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Often occurs during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w:t>
            </w:r>
          </w:p>
        </w:tc>
      </w:tr>
      <w:tr>
        <w:tc>
          <w:tcPr/>
          <w:p>
            <w:pPr>
              <w:pStyle w:val="Compact"/>
              <w:jc w:val="left"/>
            </w:pPr>
            <w:r>
              <w:t xml:space="preserve">Tool Change</w:t>
            </w:r>
          </w:p>
        </w:tc>
        <w:tc>
          <w:tcPr/>
          <w:p>
            <w:pPr>
              <w:pStyle w:val="Compact"/>
              <w:jc w:val="left"/>
            </w:pPr>
            <w:r>
              <w:t xml:space="preserve">Exchange of one percussor for another</w:t>
            </w:r>
          </w:p>
        </w:tc>
      </w:tr>
    </w:tbl>
    <w:bookmarkEnd w:id="32"/>
    <w:bookmarkStart w:id="33" w:name="perception-level-data"/>
    <w:p>
      <w:pPr>
        <w:pStyle w:val="Heading2"/>
      </w:pPr>
      <w:r>
        <w:t xml:space="preserve">Perception-level data</w:t>
      </w:r>
    </w:p>
    <w:p>
      <w:pPr>
        <w:pStyle w:val="FirstParagraph"/>
      </w:pPr>
      <w:r>
        <w:t xml:space="preserve">Ethnographies revolving around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contemporary U.S. hobbyists</w:t>
      </w:r>
      <w:r>
        <w:t xml:space="preserve"> </w:t>
      </w:r>
      <w:r>
        <w:t xml:space="preserve">(</w:t>
      </w:r>
      <w:hyperlink w:anchor="ref-whittaker2004">
        <w:r>
          <w:rPr>
            <w:rStyle w:val="Hyperlink"/>
          </w:rPr>
          <w:t xml:space="preserve">Whittaker, 2004</w:t>
        </w:r>
      </w:hyperlink>
      <w:r>
        <w:t xml:space="preserve">)</w:t>
      </w:r>
      <w:r>
        <w:t xml:space="preserve"> </w:t>
      </w:r>
      <w:r>
        <w:t xml:space="preserve">and knapping practitioners in various non-industrial societies</w:t>
      </w:r>
      <w:r>
        <w:t xml:space="preserve"> </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ethnography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(e.g., intention) that is otherwise irretrievable and thus should occupy a unique niche in experimental archaeology. This also echoes the post-positivist turn in psychology, a field that is known for the development of experimental methods, in the past decades, particularly the emphasis on the value of incorporating qualitative research</w:t>
      </w:r>
      <w:r>
        <w:t xml:space="preserve"> </w:t>
      </w:r>
      <w:r>
        <w:t xml:space="preserve">(</w:t>
      </w:r>
      <w:hyperlink w:anchor="ref-stoutCognitiveScienceTechnology2021">
        <w:r>
          <w:rPr>
            <w:rStyle w:val="Hyperlink"/>
          </w:rPr>
          <w:t xml:space="preserve">Stout, 2021</w:t>
        </w:r>
      </w:hyperlink>
      <w:r>
        <w:t xml:space="preserve">;</w:t>
      </w:r>
      <w:r>
        <w:t xml:space="preserve"> </w:t>
      </w:r>
      <w:hyperlink w:anchor="ref-syed2022">
        <w:r>
          <w:rPr>
            <w:rStyle w:val="Hyperlink"/>
          </w:rPr>
          <w:t xml:space="preserve">Syed &amp; McLean, 2022</w:t>
        </w:r>
      </w:hyperlink>
      <w:r>
        <w:t xml:space="preserve">;</w:t>
      </w:r>
      <w:r>
        <w:t xml:space="preserve"> </w:t>
      </w:r>
      <w:hyperlink w:anchor="ref-weger2019">
        <w:r>
          <w:rPr>
            <w:rStyle w:val="Hyperlink"/>
          </w:rPr>
          <w:t xml:space="preserve">Weger et al., 2019</w:t>
        </w:r>
      </w:hyperlink>
      <w:r>
        <w:t xml:space="preserve">)</w:t>
      </w:r>
      <w:r>
        <w:t xml:space="preserve">.</w:t>
      </w:r>
    </w:p>
    <w:p>
      <w:pPr>
        <w:pStyle w:val="BodyText"/>
      </w:pPr>
      <w:r>
        <w:t xml:space="preserve">Through participant observation, interviews, and detailed field notes, ethnography can capture the subtle nuances of perception, such as sensory experiences, social interactions, and cultural meanings associated with the experimental activities</w:t>
      </w:r>
      <w:r>
        <w:t xml:space="preserve"> </w:t>
      </w:r>
      <w:r>
        <w:t xml:space="preserve">(</w:t>
      </w:r>
      <w:hyperlink w:anchor="ref-gowlland2019">
        <w:r>
          <w:rPr>
            <w:rStyle w:val="Hyperlink"/>
          </w:rPr>
          <w:t xml:space="preserve">Gowlland, 2019</w:t>
        </w:r>
      </w:hyperlink>
      <w:r>
        <w:t xml:space="preserve">)</w:t>
      </w:r>
      <w:r>
        <w:t xml:space="preserve">.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artefacts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bookmarkEnd w:id="33"/>
    <w:bookmarkStart w:id="34" w:name="multi-level-data-curation"/>
    <w:p>
      <w:pPr>
        <w:pStyle w:val="Heading2"/>
      </w:pPr>
      <w:r>
        <w:t xml:space="preserve">Multi-level data curation</w:t>
      </w:r>
    </w:p>
    <w:p>
      <w:pPr>
        <w:pStyle w:val="FirstParagraph"/>
      </w:pPr>
      <w:r>
        <w:t xml:space="preserve">The comparative study and large-scale synthesis of variation data require the building of centralized, open-access, and carefully curated data infrastructure, which unfortunately still does not exist yet in experimental archaeology. Among the three dimensions of the Tripe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simon2015">
        <w:r>
          <w:rPr>
            <w:rStyle w:val="Hyperlink"/>
          </w:rPr>
          <w:t xml:space="preserve">Simon et al., 2015</w:t>
        </w:r>
      </w:hyperlink>
      <w:r>
        <w:t xml:space="preserve">)</w:t>
      </w:r>
      <w:r>
        <w:t xml:space="preserve">, a web-based library originally designed for developmental scientists, as the main data curation platform, where researchers can freely upload video files and related metadata that can connect with different types of data within the same project.</w:t>
      </w:r>
    </w:p>
    <w:bookmarkEnd w:id="34"/>
    <w:bookmarkEnd w:id="35"/>
    <w:bookmarkStart w:id="36"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variation. It is also compatible with many theoretical orientations, ranging from behavioural archaeology (emphasis on video recording of behavioural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bookmarkEnd w:id="36"/>
    <w:bookmarkStart w:id="37" w:name="acknowledgements"/>
    <w:p>
      <w:pPr>
        <w:pStyle w:val="Heading1"/>
      </w:pPr>
      <w:r>
        <w:t xml:space="preserve">Acknowledgements</w:t>
      </w:r>
    </w:p>
    <w:p>
      <w:pPr>
        <w:pStyle w:val="FirstParagraph"/>
      </w:pPr>
      <w:r>
        <w:t xml:space="preserve">I thank Mark Moore for an inspiring discussion and Dietrich Stout for his helpful comments on earlier drafts of this article. This study was supported by a research grant from the Leakey Foundation titled</w:t>
      </w:r>
      <w:r>
        <w:t xml:space="preserve"> </w:t>
      </w:r>
      <w:r>
        <w:t xml:space="preserve">‘</w:t>
      </w:r>
      <w:r>
        <w:t xml:space="preserve">Inferring skill reproduction from stone artifacts: A middle‐range approach.</w:t>
      </w:r>
      <w:r>
        <w:t xml:space="preserve">’</w:t>
      </w:r>
    </w:p>
    <w:bookmarkEnd w:id="37"/>
    <w:bookmarkStart w:id="168" w:name="references"/>
    <w:p>
      <w:pPr>
        <w:pStyle w:val="Heading1"/>
      </w:pPr>
      <w:r>
        <w:t xml:space="preserve">References</w:t>
      </w:r>
    </w:p>
    <w:bookmarkStart w:id="167" w:name="refs"/>
    <w:bookmarkStart w:id="39" w:name="ref-antón2017"/>
    <w:p>
      <w:pPr>
        <w:pStyle w:val="Bibliography"/>
      </w:pPr>
      <w:r>
        <w:t xml:space="preserve">Antón, S. C., &amp; Kuzawa, C. W. (2017). Early homo, plasticity and the extended evolutionary synthesis.</w:t>
      </w:r>
      <w:r>
        <w:t xml:space="preserve"> </w:t>
      </w:r>
      <w:r>
        <w:rPr>
          <w:iCs/>
          <w:i/>
        </w:rPr>
        <w:t xml:space="preserve">Interface Focus</w:t>
      </w:r>
      <w:r>
        <w:t xml:space="preserve">,</w:t>
      </w:r>
      <w:r>
        <w:t xml:space="preserve"> </w:t>
      </w:r>
      <w:r>
        <w:rPr>
          <w:iCs/>
          <w:i/>
        </w:rPr>
        <w:t xml:space="preserve">7</w:t>
      </w:r>
      <w:r>
        <w:t xml:space="preserve">(5), 20170004.</w:t>
      </w:r>
      <w:r>
        <w:t xml:space="preserve"> </w:t>
      </w:r>
      <w:hyperlink r:id="rId38">
        <w:r>
          <w:rPr>
            <w:rStyle w:val="Hyperlink"/>
          </w:rPr>
          <w:t xml:space="preserve">https://doi.org/10.1098/rsfs.2017.0004</w:t>
        </w:r>
      </w:hyperlink>
    </w:p>
    <w:bookmarkEnd w:id="39"/>
    <w:bookmarkStart w:id="40" w:name="ref-arthur2018"/>
    <w:p>
      <w:pPr>
        <w:pStyle w:val="Bibliography"/>
      </w:pPr>
      <w:r>
        <w:t xml:space="preserve">Arthur, K. W. (2018).</w:t>
      </w:r>
      <w:r>
        <w:t xml:space="preserve"> </w:t>
      </w:r>
      <w:r>
        <w:rPr>
          <w:iCs/>
          <w:i/>
        </w:rPr>
        <w:t xml:space="preserve">The lives of stone tools: Crafting the status, skill, and identity of flintknappers</w:t>
      </w:r>
      <w:r>
        <w:t xml:space="preserve"> </w:t>
      </w:r>
      <w:r>
        <w:t xml:space="preserve">(1st edition). University of Arizona Press.</w:t>
      </w:r>
    </w:p>
    <w:bookmarkEnd w:id="40"/>
    <w:bookmarkStart w:id="42"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41">
        <w:r>
          <w:rPr>
            <w:rStyle w:val="Hyperlink"/>
          </w:rPr>
          <w:t xml:space="preserve">https://doi.org/10.1017/S0959774320000347</w:t>
        </w:r>
      </w:hyperlink>
    </w:p>
    <w:bookmarkEnd w:id="42"/>
    <w:bookmarkStart w:id="44" w:name="ref-barrett2020"/>
    <w:p>
      <w:pPr>
        <w:pStyle w:val="Bibliography"/>
      </w:pPr>
      <w:r>
        <w:t xml:space="preserve">Barrett, H. C. (2020). Towards a Cognitive Science of the Human: Cross-Cultural Approaches and Their Urgency.</w:t>
      </w:r>
      <w:r>
        <w:t xml:space="preserve"> </w:t>
      </w:r>
      <w:r>
        <w:rPr>
          <w:iCs/>
          <w:i/>
        </w:rPr>
        <w:t xml:space="preserve">Trends in Cognitive Sciences</w:t>
      </w:r>
      <w:r>
        <w:t xml:space="preserve">,</w:t>
      </w:r>
      <w:r>
        <w:t xml:space="preserve"> </w:t>
      </w:r>
      <w:r>
        <w:rPr>
          <w:iCs/>
          <w:i/>
        </w:rPr>
        <w:t xml:space="preserve">24</w:t>
      </w:r>
      <w:r>
        <w:t xml:space="preserve">(8), 620–638.</w:t>
      </w:r>
      <w:r>
        <w:t xml:space="preserve"> </w:t>
      </w:r>
      <w:hyperlink r:id="rId43">
        <w:r>
          <w:rPr>
            <w:rStyle w:val="Hyperlink"/>
          </w:rPr>
          <w:t xml:space="preserve">https://doi.org/10.1016/j.tics.2020.05.007</w:t>
        </w:r>
      </w:hyperlink>
    </w:p>
    <w:bookmarkEnd w:id="44"/>
    <w:bookmarkStart w:id="46"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5">
        <w:r>
          <w:rPr>
            <w:rStyle w:val="Hyperlink"/>
          </w:rPr>
          <w:t xml:space="preserve">https://doi.org/10.2218/jls.v3i1.1522</w:t>
        </w:r>
      </w:hyperlink>
    </w:p>
    <w:bookmarkEnd w:id="46"/>
    <w:bookmarkStart w:id="48" w:name="ref-broman2018"/>
    <w:p>
      <w:pPr>
        <w:pStyle w:val="Bibliography"/>
      </w:pPr>
      <w:r>
        <w:t xml:space="preserve">Broman, K. W., &amp; Woo, K. H. (2018). Data organization in spreadsheets.</w:t>
      </w:r>
      <w:r>
        <w:t xml:space="preserve"> </w:t>
      </w:r>
      <w:r>
        <w:rPr>
          <w:iCs/>
          <w:i/>
        </w:rPr>
        <w:t xml:space="preserve">The American Statistician</w:t>
      </w:r>
      <w:r>
        <w:t xml:space="preserve">,</w:t>
      </w:r>
      <w:r>
        <w:t xml:space="preserve"> </w:t>
      </w:r>
      <w:r>
        <w:rPr>
          <w:iCs/>
          <w:i/>
        </w:rPr>
        <w:t xml:space="preserve">72</w:t>
      </w:r>
      <w:r>
        <w:t xml:space="preserve">(1), 2–10.</w:t>
      </w:r>
      <w:r>
        <w:t xml:space="preserve"> </w:t>
      </w:r>
      <w:hyperlink r:id="rId47">
        <w:r>
          <w:rPr>
            <w:rStyle w:val="Hyperlink"/>
          </w:rPr>
          <w:t xml:space="preserve">https://doi.org/10.1080/00031305.2017.1375989</w:t>
        </w:r>
      </w:hyperlink>
    </w:p>
    <w:bookmarkEnd w:id="48"/>
    <w:bookmarkStart w:id="50"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49">
        <w:r>
          <w:rPr>
            <w:rStyle w:val="Hyperlink"/>
          </w:rPr>
          <w:t xml:space="preserve">https://doi.org/10.5334/dsj-2020-043</w:t>
        </w:r>
      </w:hyperlink>
    </w:p>
    <w:bookmarkEnd w:id="50"/>
    <w:bookmarkStart w:id="51" w:name="ref-coles1979"/>
    <w:p>
      <w:pPr>
        <w:pStyle w:val="Bibliography"/>
      </w:pPr>
      <w:r>
        <w:t xml:space="preserve">Coles, J. M. (1979).</w:t>
      </w:r>
      <w:r>
        <w:t xml:space="preserve"> </w:t>
      </w:r>
      <w:r>
        <w:rPr>
          <w:iCs/>
          <w:i/>
        </w:rPr>
        <w:t xml:space="preserve">Experimental archaeology</w:t>
      </w:r>
      <w:r>
        <w:t xml:space="preserve">. Academic Press.</w:t>
      </w:r>
    </w:p>
    <w:bookmarkEnd w:id="51"/>
    <w:bookmarkStart w:id="52"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52"/>
    <w:bookmarkStart w:id="54"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53">
        <w:r>
          <w:rPr>
            <w:rStyle w:val="Hyperlink"/>
          </w:rPr>
          <w:t xml:space="preserve">https://doi.org/10.1080/01977261.2019.1587255</w:t>
        </w:r>
      </w:hyperlink>
    </w:p>
    <w:bookmarkEnd w:id="54"/>
    <w:bookmarkStart w:id="56"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55">
        <w:r>
          <w:rPr>
            <w:rStyle w:val="Hyperlink"/>
          </w:rPr>
          <w:t xml:space="preserve">https://doi.org/10.2307/j.ctv1c29t27</w:t>
        </w:r>
      </w:hyperlink>
    </w:p>
    <w:bookmarkEnd w:id="56"/>
    <w:bookmarkStart w:id="58" w:name="ref-domínguez-rodrigo2008"/>
    <w:p>
      <w:pPr>
        <w:pStyle w:val="Bibliography"/>
      </w:pPr>
      <w:r>
        <w:t xml:space="preserve">Domínguez-Rodrigo, M. (2008). Conceptual premises in experimental design and their bearing on the use of analogy: An example from experiments on cut marks.</w:t>
      </w:r>
      <w:r>
        <w:t xml:space="preserve"> </w:t>
      </w:r>
      <w:r>
        <w:rPr>
          <w:iCs/>
          <w:i/>
        </w:rPr>
        <w:t xml:space="preserve">World Archaeology</w:t>
      </w:r>
      <w:r>
        <w:t xml:space="preserve">,</w:t>
      </w:r>
      <w:r>
        <w:t xml:space="preserve"> </w:t>
      </w:r>
      <w:r>
        <w:rPr>
          <w:iCs/>
          <w:i/>
        </w:rPr>
        <w:t xml:space="preserve">40</w:t>
      </w:r>
      <w:r>
        <w:t xml:space="preserve">(1), 67–82.</w:t>
      </w:r>
      <w:r>
        <w:t xml:space="preserve"> </w:t>
      </w:r>
      <w:hyperlink r:id="rId57">
        <w:r>
          <w:rPr>
            <w:rStyle w:val="Hyperlink"/>
          </w:rPr>
          <w:t xml:space="preserve">https://doi.org/10.1080/00438240701843629</w:t>
        </w:r>
      </w:hyperlink>
    </w:p>
    <w:bookmarkEnd w:id="58"/>
    <w:bookmarkStart w:id="60"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59">
        <w:r>
          <w:rPr>
            <w:rStyle w:val="Hyperlink"/>
          </w:rPr>
          <w:t xml:space="preserve">https://doi.org/10.1080/19442890.2016.1213972</w:t>
        </w:r>
      </w:hyperlink>
    </w:p>
    <w:bookmarkEnd w:id="60"/>
    <w:bookmarkStart w:id="62"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61">
        <w:r>
          <w:rPr>
            <w:rStyle w:val="Hyperlink"/>
          </w:rPr>
          <w:t xml:space="preserve">https://doi.org/10.1146/annurev.an.13.100184.001155</w:t>
        </w:r>
      </w:hyperlink>
    </w:p>
    <w:bookmarkEnd w:id="62"/>
    <w:bookmarkStart w:id="64"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63">
        <w:r>
          <w:rPr>
            <w:rStyle w:val="Hyperlink"/>
          </w:rPr>
          <w:t xml:space="preserve">https://doi.org/10.1016/bs.asb.2018.01.001</w:t>
        </w:r>
      </w:hyperlink>
    </w:p>
    <w:bookmarkEnd w:id="64"/>
    <w:bookmarkStart w:id="66"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65">
        <w:r>
          <w:rPr>
            <w:rStyle w:val="Hyperlink"/>
          </w:rPr>
          <w:t xml:space="preserve">https://doi.org/10.1111/2041-210X.12584</w:t>
        </w:r>
      </w:hyperlink>
    </w:p>
    <w:bookmarkEnd w:id="66"/>
    <w:bookmarkStart w:id="67" w:name="ref-gergely2006"/>
    <w:p>
      <w:pPr>
        <w:pStyle w:val="Bibliography"/>
      </w:pPr>
      <w:r>
        <w:t xml:space="preserve">Gergely, G., &amp; Csibra, G. (2006).</w:t>
      </w:r>
      <w:r>
        <w:t xml:space="preserve"> </w:t>
      </w:r>
      <w:r>
        <w:rPr>
          <w:iCs/>
          <w:i/>
        </w:rPr>
        <w:t xml:space="preserve">Sylvia’s recipe: The role of imitation and pedagogy in the transmission of cultural knowledge</w:t>
      </w:r>
      <w:r>
        <w:t xml:space="preserve"> </w:t>
      </w:r>
      <w:r>
        <w:t xml:space="preserve">(S. C. Levinson &amp; N. J. Enfield, Eds.; pp. 229–255). Berg Publishers.</w:t>
      </w:r>
    </w:p>
    <w:bookmarkEnd w:id="67"/>
    <w:bookmarkStart w:id="69" w:name="ref-gowlland2019"/>
    <w:p>
      <w:pPr>
        <w:pStyle w:val="Bibliography"/>
      </w:pPr>
      <w:r>
        <w:t xml:space="preserve">Gowlland, G. (2019). The sociality of enskilment.</w:t>
      </w:r>
      <w:r>
        <w:t xml:space="preserve"> </w:t>
      </w:r>
      <w:r>
        <w:rPr>
          <w:iCs/>
          <w:i/>
        </w:rPr>
        <w:t xml:space="preserve">Ethnos</w:t>
      </w:r>
      <w:r>
        <w:t xml:space="preserve">,</w:t>
      </w:r>
      <w:r>
        <w:t xml:space="preserve"> </w:t>
      </w:r>
      <w:r>
        <w:rPr>
          <w:iCs/>
          <w:i/>
        </w:rPr>
        <w:t xml:space="preserve">84</w:t>
      </w:r>
      <w:r>
        <w:t xml:space="preserve">(3), 508–524.</w:t>
      </w:r>
      <w:r>
        <w:t xml:space="preserve"> </w:t>
      </w:r>
      <w:hyperlink r:id="rId68">
        <w:r>
          <w:rPr>
            <w:rStyle w:val="Hyperlink"/>
          </w:rPr>
          <w:t xml:space="preserve">https://doi.org/10.1080/00141844.2018.1455726</w:t>
        </w:r>
      </w:hyperlink>
    </w:p>
    <w:bookmarkEnd w:id="69"/>
    <w:bookmarkStart w:id="70"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70"/>
    <w:bookmarkStart w:id="71" w:name="ref-haidleHowThinkSimple2009"/>
    <w:p>
      <w:pPr>
        <w:pStyle w:val="Bibliography"/>
      </w:pPr>
      <w:r>
        <w:t xml:space="preserve">Haidle, 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71"/>
    <w:bookmarkStart w:id="73" w:name="ref-haidle2014"/>
    <w:p>
      <w:pPr>
        <w:pStyle w:val="Bibliography"/>
      </w:pPr>
      <w:r>
        <w:t xml:space="preserve">Haidle, M. N. (2014). Building a bridge</w:t>
      </w:r>
      <w:r>
        <w:t xml:space="preserve">an archeologist’s perspective on the evolution of causal cognition.</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72">
        <w:r>
          <w:rPr>
            <w:rStyle w:val="Hyperlink"/>
          </w:rPr>
          <w:t xml:space="preserve">https://www.frontiersin.org/articles/10.3389/fpsyg.2014.01472</w:t>
        </w:r>
      </w:hyperlink>
    </w:p>
    <w:bookmarkEnd w:id="73"/>
    <w:bookmarkStart w:id="75" w:name="ref-harris2021"/>
    <w:p>
      <w:pPr>
        <w:pStyle w:val="Bibliography"/>
      </w:pPr>
      <w:r>
        <w:t xml:space="preserve">Harris, J. A., Boyd, R., &amp; Wood, B. M. (2021). The role of causal knowledge in the evolution of traditional technology.</w:t>
      </w:r>
      <w:r>
        <w:t xml:space="preserve"> </w:t>
      </w:r>
      <w:r>
        <w:rPr>
          <w:iCs/>
          <w:i/>
        </w:rPr>
        <w:t xml:space="preserve">Current Biology</w:t>
      </w:r>
      <w:r>
        <w:t xml:space="preserve">,</w:t>
      </w:r>
      <w:r>
        <w:t xml:space="preserve"> </w:t>
      </w:r>
      <w:r>
        <w:rPr>
          <w:iCs/>
          <w:i/>
        </w:rPr>
        <w:t xml:space="preserve">31</w:t>
      </w:r>
      <w:r>
        <w:t xml:space="preserve">(8), 1798–1803.e3.</w:t>
      </w:r>
      <w:r>
        <w:t xml:space="preserve"> </w:t>
      </w:r>
      <w:hyperlink r:id="rId74">
        <w:r>
          <w:rPr>
            <w:rStyle w:val="Hyperlink"/>
          </w:rPr>
          <w:t xml:space="preserve">https://doi.org/10.1016/j.cub.2021.01.096</w:t>
        </w:r>
      </w:hyperlink>
    </w:p>
    <w:bookmarkEnd w:id="75"/>
    <w:bookmarkStart w:id="77" w:name="ref-henrichSearchHomoEconomicus2001"/>
    <w:p>
      <w:pPr>
        <w:pStyle w:val="Bibliography"/>
      </w:pPr>
      <w:r>
        <w:t xml:space="preserve">Henrich, J., Boyd, R., Bowles, S., Camerer, C., Fehr, E., Gintis, H., &amp; McElreath, R. (2001). In</w:t>
      </w:r>
      <w:r>
        <w:t xml:space="preserve"> </w:t>
      </w:r>
      <w:r>
        <w:t xml:space="preserve">Search</w:t>
      </w:r>
      <w:r>
        <w:t xml:space="preserve"> </w:t>
      </w:r>
      <w:r>
        <w:t xml:space="preserve">of</w:t>
      </w:r>
      <w:r>
        <w:t xml:space="preserve"> </w:t>
      </w:r>
      <w:r>
        <w:t xml:space="preserve">Homo</w:t>
      </w:r>
      <w:r>
        <w:t xml:space="preserve"> </w:t>
      </w:r>
      <w:r>
        <w:t xml:space="preserve">Economicus</w:t>
      </w:r>
      <w:r>
        <w:t xml:space="preserve">:</w:t>
      </w:r>
      <w:r>
        <w:t xml:space="preserve"> </w:t>
      </w:r>
      <w:r>
        <w:t xml:space="preserve">Behavioral</w:t>
      </w:r>
      <w:r>
        <w:t xml:space="preserve"> </w:t>
      </w:r>
      <w:r>
        <w:t xml:space="preserve">Experiments</w:t>
      </w:r>
      <w:r>
        <w:t xml:space="preserve"> </w:t>
      </w:r>
      <w:r>
        <w:t xml:space="preserve">in 15</w:t>
      </w:r>
      <w:r>
        <w:t xml:space="preserve"> </w:t>
      </w:r>
      <w:r>
        <w:t xml:space="preserve">Small</w:t>
      </w:r>
      <w:r>
        <w:t xml:space="preserve">-</w:t>
      </w:r>
      <w:r>
        <w:t xml:space="preserve">Scale</w:t>
      </w:r>
      <w:r>
        <w:t xml:space="preserve"> </w:t>
      </w:r>
      <w:r>
        <w:t xml:space="preserve">Societies</w:t>
      </w:r>
      <w:r>
        <w:t xml:space="preserve">.</w:t>
      </w:r>
      <w:r>
        <w:t xml:space="preserve"> </w:t>
      </w:r>
      <w:r>
        <w:rPr>
          <w:iCs/>
          <w:i/>
        </w:rPr>
        <w:t xml:space="preserve">American Economic Review</w:t>
      </w:r>
      <w:r>
        <w:t xml:space="preserve">,</w:t>
      </w:r>
      <w:r>
        <w:t xml:space="preserve"> </w:t>
      </w:r>
      <w:r>
        <w:rPr>
          <w:iCs/>
          <w:i/>
        </w:rPr>
        <w:t xml:space="preserve">91</w:t>
      </w:r>
      <w:r>
        <w:t xml:space="preserve">(2), 73–78.</w:t>
      </w:r>
      <w:r>
        <w:t xml:space="preserve"> </w:t>
      </w:r>
      <w:hyperlink r:id="rId76">
        <w:r>
          <w:rPr>
            <w:rStyle w:val="Hyperlink"/>
          </w:rPr>
          <w:t xml:space="preserve">https://doi.org/10.1257/aer.91.2.73</w:t>
        </w:r>
      </w:hyperlink>
    </w:p>
    <w:bookmarkEnd w:id="77"/>
    <w:bookmarkStart w:id="78" w:name="ref-hernan2023"/>
    <w:p>
      <w:pPr>
        <w:pStyle w:val="Bibliography"/>
      </w:pPr>
      <w:r>
        <w:t xml:space="preserve">Hernan, M. A., &amp; Robins, J. M. (2023).</w:t>
      </w:r>
      <w:r>
        <w:t xml:space="preserve"> </w:t>
      </w:r>
      <w:r>
        <w:rPr>
          <w:iCs/>
          <w:i/>
        </w:rPr>
        <w:t xml:space="preserve">Causal inference: What if</w:t>
      </w:r>
      <w:r>
        <w:t xml:space="preserve">. CRC Press.</w:t>
      </w:r>
    </w:p>
    <w:bookmarkEnd w:id="78"/>
    <w:bookmarkStart w:id="80"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79">
        <w:r>
          <w:rPr>
            <w:rStyle w:val="Hyperlink"/>
          </w:rPr>
          <w:t xml:space="preserve">https://doi.org/10.1037/1076-898X.5.2.205</w:t>
        </w:r>
      </w:hyperlink>
    </w:p>
    <w:bookmarkEnd w:id="80"/>
    <w:bookmarkStart w:id="81"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81"/>
    <w:bookmarkStart w:id="83"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82">
        <w:r>
          <w:rPr>
            <w:rStyle w:val="Hyperlink"/>
          </w:rPr>
          <w:t xml:space="preserve">https://doi.org/10.1086/202078</w:t>
        </w:r>
      </w:hyperlink>
    </w:p>
    <w:bookmarkEnd w:id="83"/>
    <w:bookmarkStart w:id="85" w:name="ref-kafaee2022"/>
    <w:p>
      <w:pPr>
        <w:pStyle w:val="Bibliography"/>
      </w:pPr>
      <w:r>
        <w:t xml:space="preserve">Kafaee, M., Daviran, E., &amp; Taqavi, M. (2022). The QWERTY keyboard from the perspective of the Collingridge dilemma: lessons for co-construction of human-technology.</w:t>
      </w:r>
      <w:r>
        <w:t xml:space="preserve"> </w:t>
      </w:r>
      <w:r>
        <w:rPr>
          <w:iCs/>
          <w:i/>
        </w:rPr>
        <w:t xml:space="preserve">AI &amp; SOCIETY</w:t>
      </w:r>
      <w:r>
        <w:t xml:space="preserve">.</w:t>
      </w:r>
      <w:r>
        <w:t xml:space="preserve"> </w:t>
      </w:r>
      <w:hyperlink r:id="rId84">
        <w:r>
          <w:rPr>
            <w:rStyle w:val="Hyperlink"/>
          </w:rPr>
          <w:t xml:space="preserve">https://doi.org/10.1007/s00146-022-01573-1</w:t>
        </w:r>
      </w:hyperlink>
    </w:p>
    <w:bookmarkEnd w:id="85"/>
    <w:bookmarkStart w:id="87"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86">
        <w:r>
          <w:rPr>
            <w:rStyle w:val="Hyperlink"/>
          </w:rPr>
          <w:t xml:space="preserve">https://doi.org/10.1007/s10816-022-09586-2</w:t>
        </w:r>
      </w:hyperlink>
    </w:p>
    <w:bookmarkEnd w:id="87"/>
    <w:bookmarkStart w:id="89"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88">
        <w:r>
          <w:rPr>
            <w:rStyle w:val="Hyperlink"/>
          </w:rPr>
          <w:t xml:space="preserve">https://doi.org/10.1007/s10816-017-9351-1</w:t>
        </w:r>
      </w:hyperlink>
    </w:p>
    <w:bookmarkEnd w:id="89"/>
    <w:bookmarkStart w:id="91"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90">
        <w:r>
          <w:rPr>
            <w:rStyle w:val="Hyperlink"/>
          </w:rPr>
          <w:t xml:space="preserve">https://doi.org/10.1016/j.jasrep.2023.103974</w:t>
        </w:r>
      </w:hyperlink>
    </w:p>
    <w:bookmarkEnd w:id="91"/>
    <w:bookmarkStart w:id="93"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92">
        <w:r>
          <w:rPr>
            <w:rStyle w:val="Hyperlink"/>
          </w:rPr>
          <w:t xml:space="preserve">https://doi.org/10.1002/evan.21964</w:t>
        </w:r>
      </w:hyperlink>
    </w:p>
    <w:bookmarkEnd w:id="93"/>
    <w:bookmarkStart w:id="95"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94">
        <w:r>
          <w:rPr>
            <w:rStyle w:val="Hyperlink"/>
          </w:rPr>
          <w:t xml:space="preserve">https://doi.org/10.1038/s41598-017-14322-y</w:t>
        </w:r>
      </w:hyperlink>
    </w:p>
    <w:bookmarkEnd w:id="95"/>
    <w:bookmarkStart w:id="97"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96">
        <w:r>
          <w:rPr>
            <w:rStyle w:val="Hyperlink"/>
          </w:rPr>
          <w:t xml:space="preserve">https://doi.org/10.4207/PA.2014.ART90</w:t>
        </w:r>
      </w:hyperlink>
    </w:p>
    <w:bookmarkEnd w:id="97"/>
    <w:bookmarkStart w:id="98"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98"/>
    <w:bookmarkStart w:id="100"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99">
        <w:r>
          <w:rPr>
            <w:rStyle w:val="Hyperlink"/>
          </w:rPr>
          <w:t xml:space="preserve">https://doi.org/10.1016/j.quascirev.2020.106431</w:t>
        </w:r>
      </w:hyperlink>
    </w:p>
    <w:bookmarkEnd w:id="100"/>
    <w:bookmarkStart w:id="102"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01">
        <w:r>
          <w:rPr>
            <w:rStyle w:val="Hyperlink"/>
          </w:rPr>
          <w:t xml:space="preserve">https://doi.org/10.1371/journal.pone.0273118</w:t>
        </w:r>
      </w:hyperlink>
    </w:p>
    <w:bookmarkEnd w:id="102"/>
    <w:bookmarkStart w:id="103" w:name="ref-armstrong2018"/>
    <w:p>
      <w:pPr>
        <w:pStyle w:val="Bibliography"/>
      </w:pPr>
      <w:r>
        <w:t xml:space="preserve">Mindermann, S., &amp; Armstrong, S. (2018). Occam’s razor is insufficient to infer the preferences of irrational agents.</w:t>
      </w:r>
      <w:r>
        <w:t xml:space="preserve"> </w:t>
      </w:r>
      <w:r>
        <w:rPr>
          <w:iCs/>
          <w:i/>
        </w:rPr>
        <w:t xml:space="preserve">Proceedings of the 32nd</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Neural</w:t>
      </w:r>
      <w:r>
        <w:rPr>
          <w:iCs/>
          <w:i/>
        </w:rPr>
        <w:t xml:space="preserve"> </w:t>
      </w:r>
      <w:r>
        <w:rPr>
          <w:iCs/>
          <w:i/>
        </w:rPr>
        <w:t xml:space="preserve">Information</w:t>
      </w:r>
      <w:r>
        <w:rPr>
          <w:iCs/>
          <w:i/>
        </w:rPr>
        <w:t xml:space="preserve"> </w:t>
      </w:r>
      <w:r>
        <w:rPr>
          <w:iCs/>
          <w:i/>
        </w:rPr>
        <w:t xml:space="preserve">Processing</w:t>
      </w:r>
      <w:r>
        <w:rPr>
          <w:iCs/>
          <w:i/>
        </w:rPr>
        <w:t xml:space="preserve"> </w:t>
      </w:r>
      <w:r>
        <w:rPr>
          <w:iCs/>
          <w:i/>
        </w:rPr>
        <w:t xml:space="preserve">Systems</w:t>
      </w:r>
      <w:r>
        <w:t xml:space="preserve">, 5603–5614.</w:t>
      </w:r>
    </w:p>
    <w:bookmarkEnd w:id="103"/>
    <w:bookmarkStart w:id="105"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04">
        <w:r>
          <w:rPr>
            <w:rStyle w:val="Hyperlink"/>
          </w:rPr>
          <w:t xml:space="preserve">https://doi.org/10.1016/j.neuron.2021.05.021</w:t>
        </w:r>
      </w:hyperlink>
    </w:p>
    <w:bookmarkEnd w:id="105"/>
    <w:bookmarkStart w:id="107" w:name="ref-montgomery2023"/>
    <w:p>
      <w:pPr>
        <w:pStyle w:val="Bibliography"/>
      </w:pPr>
      <w:r>
        <w:t xml:space="preserve">Montgomery, L. M., &amp; Fryer, T. C. (2023). The future of archaeology is (still) community collaboration.</w:t>
      </w:r>
      <w:r>
        <w:t xml:space="preserve"> </w:t>
      </w:r>
      <w:r>
        <w:rPr>
          <w:iCs/>
          <w:i/>
        </w:rPr>
        <w:t xml:space="preserve">Antiquity</w:t>
      </w:r>
      <w:r>
        <w:t xml:space="preserve">,</w:t>
      </w:r>
      <w:r>
        <w:t xml:space="preserve"> </w:t>
      </w:r>
      <w:r>
        <w:rPr>
          <w:iCs/>
          <w:i/>
        </w:rPr>
        <w:t xml:space="preserve">97</w:t>
      </w:r>
      <w:r>
        <w:t xml:space="preserve">(394), 795–809.</w:t>
      </w:r>
      <w:r>
        <w:t xml:space="preserve"> </w:t>
      </w:r>
      <w:hyperlink r:id="rId106">
        <w:r>
          <w:rPr>
            <w:rStyle w:val="Hyperlink"/>
          </w:rPr>
          <w:t xml:space="preserve">https://doi.org/10.15184/aqy.2023.98</w:t>
        </w:r>
      </w:hyperlink>
    </w:p>
    <w:bookmarkEnd w:id="107"/>
    <w:bookmarkStart w:id="109" w:name="ref-moore2020"/>
    <w:p>
      <w:pPr>
        <w:pStyle w:val="Bibliography"/>
      </w:pPr>
      <w:r>
        <w:t xml:space="preserve">Moore, M. W. (2020). Hominin Stone Flaking and the Emergence of</w:t>
      </w:r>
      <w:r>
        <w:t xml:space="preserve"> </w:t>
      </w:r>
      <w:r>
        <w:t xml:space="preserve">‘</w:t>
      </w:r>
      <w:r>
        <w:t xml:space="preserve">Top-down</w:t>
      </w:r>
      <w:r>
        <w:t xml:space="preserve">’</w:t>
      </w:r>
      <w:r>
        <w:t xml:space="preserve"> </w:t>
      </w:r>
      <w:r>
        <w:t xml:space="preserve">Design in Human Evolution.</w:t>
      </w:r>
      <w:r>
        <w:t xml:space="preserve"> </w:t>
      </w:r>
      <w:r>
        <w:rPr>
          <w:iCs/>
          <w:i/>
        </w:rPr>
        <w:t xml:space="preserve">Cambridge Archaeological Journal</w:t>
      </w:r>
      <w:r>
        <w:t xml:space="preserve">,</w:t>
      </w:r>
      <w:r>
        <w:t xml:space="preserve"> </w:t>
      </w:r>
      <w:r>
        <w:rPr>
          <w:iCs/>
          <w:i/>
        </w:rPr>
        <w:t xml:space="preserve">30</w:t>
      </w:r>
      <w:r>
        <w:t xml:space="preserve">(4), 647–664.</w:t>
      </w:r>
      <w:r>
        <w:t xml:space="preserve"> </w:t>
      </w:r>
      <w:hyperlink r:id="rId108">
        <w:r>
          <w:rPr>
            <w:rStyle w:val="Hyperlink"/>
          </w:rPr>
          <w:t xml:space="preserve">https://doi.org/10.1017/S0959774320000190</w:t>
        </w:r>
      </w:hyperlink>
    </w:p>
    <w:bookmarkEnd w:id="109"/>
    <w:bookmarkStart w:id="111"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10">
        <w:r>
          <w:rPr>
            <w:rStyle w:val="Hyperlink"/>
          </w:rPr>
          <w:t xml:space="preserve">https://doi.org/10.1017/S0959774323000070</w:t>
        </w:r>
      </w:hyperlink>
    </w:p>
    <w:bookmarkEnd w:id="111"/>
    <w:bookmarkStart w:id="112" w:name="ref-nami2010"/>
    <w:p>
      <w:pPr>
        <w:pStyle w:val="Bibliography"/>
      </w:pPr>
      <w:r>
        <w:t xml:space="preserve">Nami, H., G. (2010). Theoretical</w:t>
      </w:r>
      <w:r>
        <w:t xml:space="preserve"> </w:t>
      </w:r>
      <w:r>
        <w:t xml:space="preserve">Reflections</w:t>
      </w:r>
      <w:r>
        <w:t xml:space="preserve"> </w:t>
      </w:r>
      <w:r>
        <w:t xml:space="preserve">on</w:t>
      </w:r>
      <w:r>
        <w:t xml:space="preserve"> </w:t>
      </w:r>
      <w:r>
        <w:t xml:space="preserve">Experimental</w:t>
      </w:r>
      <w:r>
        <w:t xml:space="preserve"> </w:t>
      </w:r>
      <w:r>
        <w:t xml:space="preserve">Archaeology</w:t>
      </w:r>
      <w:r>
        <w:t xml:space="preserve"> </w:t>
      </w:r>
      <w:r>
        <w:t xml:space="preserve">and</w:t>
      </w:r>
      <w:r>
        <w:t xml:space="preserve"> </w:t>
      </w:r>
      <w:r>
        <w:t xml:space="preserve">Lithic</w:t>
      </w:r>
      <w:r>
        <w:t xml:space="preserve"> </w:t>
      </w:r>
      <w:r>
        <w:t xml:space="preserve">Technology</w:t>
      </w:r>
      <w:r>
        <w:t xml:space="preserve">:</w:t>
      </w:r>
      <w:r>
        <w:t xml:space="preserve"> </w:t>
      </w:r>
      <w:r>
        <w:t xml:space="preserve">Issues</w:t>
      </w:r>
      <w:r>
        <w:t xml:space="preserve"> </w:t>
      </w:r>
      <w:r>
        <w:t xml:space="preserve">on</w:t>
      </w:r>
      <w:r>
        <w:t xml:space="preserve"> </w:t>
      </w:r>
      <w:r>
        <w:t xml:space="preserve">Actualistic</w:t>
      </w:r>
      <w:r>
        <w:t xml:space="preserve"> </w:t>
      </w:r>
      <w:r>
        <w:t xml:space="preserve">Stone</w:t>
      </w:r>
      <w:r>
        <w:t xml:space="preserve"> </w:t>
      </w:r>
      <w:r>
        <w:t xml:space="preserve">Tools</w:t>
      </w:r>
      <w:r>
        <w:t xml:space="preserve"> </w:t>
      </w:r>
      <w:r>
        <w:t xml:space="preserve">Analysis</w:t>
      </w:r>
      <w:r>
        <w:t xml:space="preserve"> </w:t>
      </w:r>
      <w:r>
        <w:t xml:space="preserve">and</w:t>
      </w:r>
      <w:r>
        <w:t xml:space="preserve"> </w:t>
      </w:r>
      <w:r>
        <w:t xml:space="preserve">Interpretation</w:t>
      </w:r>
      <w:r>
        <w:t xml:space="preserve">. In H. Nami G. (Ed.),</w:t>
      </w:r>
      <w:r>
        <w:t xml:space="preserve"> </w:t>
      </w:r>
      <w:r>
        <w:rPr>
          <w:iCs/>
          <w:i/>
        </w:rPr>
        <w:t xml:space="preserve">Experiments and</w:t>
      </w:r>
      <w:r>
        <w:rPr>
          <w:iCs/>
          <w:i/>
        </w:rPr>
        <w:t xml:space="preserve"> </w:t>
      </w:r>
      <w:r>
        <w:rPr>
          <w:iCs/>
          <w:i/>
        </w:rPr>
        <w:t xml:space="preserve">Interpretation</w:t>
      </w:r>
      <w:r>
        <w:rPr>
          <w:iCs/>
          <w:i/>
        </w:rPr>
        <w:t xml:space="preserve"> </w:t>
      </w:r>
      <w:r>
        <w:rPr>
          <w:iCs/>
          <w:i/>
        </w:rPr>
        <w:t xml:space="preserve">of</w:t>
      </w:r>
      <w:r>
        <w:rPr>
          <w:iCs/>
          <w:i/>
        </w:rPr>
        <w:t xml:space="preserve"> </w:t>
      </w:r>
      <w:r>
        <w:rPr>
          <w:iCs/>
          <w:i/>
        </w:rPr>
        <w:t xml:space="preserve">Traditional</w:t>
      </w:r>
      <w:r>
        <w:rPr>
          <w:iCs/>
          <w:i/>
        </w:rPr>
        <w:t xml:space="preserve"> </w:t>
      </w:r>
      <w:r>
        <w:rPr>
          <w:iCs/>
          <w:i/>
        </w:rPr>
        <w:t xml:space="preserve">Technologies</w:t>
      </w:r>
      <w:r>
        <w:rPr>
          <w:iCs/>
          <w:i/>
        </w:rPr>
        <w:t xml:space="preserve">:</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Honor</w:t>
      </w:r>
      <w:r>
        <w:rPr>
          <w:iCs/>
          <w:i/>
        </w:rPr>
        <w:t xml:space="preserve"> </w:t>
      </w:r>
      <w:r>
        <w:rPr>
          <w:iCs/>
          <w:i/>
        </w:rPr>
        <w:t xml:space="preserve">of</w:t>
      </w:r>
      <w:r>
        <w:rPr>
          <w:iCs/>
          <w:i/>
        </w:rPr>
        <w:t xml:space="preserve"> </w:t>
      </w:r>
      <w:r>
        <w:rPr>
          <w:iCs/>
          <w:i/>
        </w:rPr>
        <w:t xml:space="preserve">Errett</w:t>
      </w:r>
      <w:r>
        <w:rPr>
          <w:iCs/>
          <w:i/>
        </w:rPr>
        <w:t xml:space="preserve"> </w:t>
      </w:r>
      <w:r>
        <w:rPr>
          <w:iCs/>
          <w:i/>
        </w:rPr>
        <w:t xml:space="preserve">Callahan</w:t>
      </w:r>
      <w:r>
        <w:t xml:space="preserve"> </w:t>
      </w:r>
      <w:r>
        <w:t xml:space="preserve">(pp. 91–168). Ediciones de ArqueologÌa Contempornea.</w:t>
      </w:r>
    </w:p>
    <w:bookmarkEnd w:id="112"/>
    <w:bookmarkStart w:id="114" w:name="ref-nastase2020"/>
    <w:p>
      <w:pPr>
        <w:pStyle w:val="Bibliography"/>
      </w:pPr>
      <w:r>
        <w:t xml:space="preserve">Nastase, S. A., Goldstein, A., &amp; Hasson, U. (2020). Keep it real: rethinking the primacy of experimental control in cognitive neuroscience.</w:t>
      </w:r>
      <w:r>
        <w:t xml:space="preserve"> </w:t>
      </w:r>
      <w:r>
        <w:rPr>
          <w:iCs/>
          <w:i/>
        </w:rPr>
        <w:t xml:space="preserve">NeuroImage</w:t>
      </w:r>
      <w:r>
        <w:t xml:space="preserve">,</w:t>
      </w:r>
      <w:r>
        <w:t xml:space="preserve"> </w:t>
      </w:r>
      <w:r>
        <w:rPr>
          <w:iCs/>
          <w:i/>
        </w:rPr>
        <w:t xml:space="preserve">222</w:t>
      </w:r>
      <w:r>
        <w:t xml:space="preserve">, 117254.</w:t>
      </w:r>
      <w:r>
        <w:t xml:space="preserve"> </w:t>
      </w:r>
      <w:hyperlink r:id="rId113">
        <w:r>
          <w:rPr>
            <w:rStyle w:val="Hyperlink"/>
          </w:rPr>
          <w:t xml:space="preserve">https://doi.org/10.1016/j.neuroimage.2020.117254</w:t>
        </w:r>
      </w:hyperlink>
    </w:p>
    <w:bookmarkEnd w:id="114"/>
    <w:bookmarkStart w:id="116"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15">
        <w:r>
          <w:rPr>
            <w:rStyle w:val="Hyperlink"/>
          </w:rPr>
          <w:t xml:space="preserve">https://www.jstor.org/stable/40025310</w:t>
        </w:r>
      </w:hyperlink>
    </w:p>
    <w:bookmarkEnd w:id="116"/>
    <w:bookmarkStart w:id="118"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17">
        <w:r>
          <w:rPr>
            <w:rStyle w:val="Hyperlink"/>
          </w:rPr>
          <w:t xml:space="preserve">https://doi.org/10.1007/s10816-022-09592-4</w:t>
        </w:r>
      </w:hyperlink>
    </w:p>
    <w:bookmarkEnd w:id="118"/>
    <w:bookmarkStart w:id="120"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19">
        <w:r>
          <w:rPr>
            <w:rStyle w:val="Hyperlink"/>
          </w:rPr>
          <w:t xml:space="preserve">https://doi.org/10.1007/s12520-018-0729-0</w:t>
        </w:r>
      </w:hyperlink>
    </w:p>
    <w:bookmarkEnd w:id="120"/>
    <w:bookmarkStart w:id="121"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21"/>
    <w:bookmarkStart w:id="123" w:name="ref-proffitt2022"/>
    <w:p>
      <w:pPr>
        <w:pStyle w:val="Bibliography"/>
      </w:pPr>
      <w:r>
        <w:t xml:space="preserve">Proffitt, T., Bargalló, A., &amp; Torre, I. de la. (2022). The Effect of Raw Material on the Identification of Knapping Skill: a Case Study from Olduvai Gorge, Tanzania.</w:t>
      </w:r>
      <w:r>
        <w:t xml:space="preserve"> </w:t>
      </w:r>
      <w:r>
        <w:rPr>
          <w:iCs/>
          <w:i/>
        </w:rPr>
        <w:t xml:space="preserve">Journal of Archaeological Method and Theory</w:t>
      </w:r>
      <w:r>
        <w:t xml:space="preserve">,</w:t>
      </w:r>
      <w:r>
        <w:t xml:space="preserve"> </w:t>
      </w:r>
      <w:r>
        <w:rPr>
          <w:iCs/>
          <w:i/>
        </w:rPr>
        <w:t xml:space="preserve">29</w:t>
      </w:r>
      <w:r>
        <w:t xml:space="preserve">(1), 50–82.</w:t>
      </w:r>
      <w:r>
        <w:t xml:space="preserve"> </w:t>
      </w:r>
      <w:hyperlink r:id="rId122">
        <w:r>
          <w:rPr>
            <w:rStyle w:val="Hyperlink"/>
          </w:rPr>
          <w:t xml:space="preserve">https://doi.org/10.1007/s10816-021-09511-z</w:t>
        </w:r>
      </w:hyperlink>
    </w:p>
    <w:bookmarkEnd w:id="123"/>
    <w:bookmarkStart w:id="125"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24">
        <w:r>
          <w:rPr>
            <w:rStyle w:val="Hyperlink"/>
          </w:rPr>
          <w:t xml:space="preserve">https://doi.org/10.1002/evan.21823</w:t>
        </w:r>
      </w:hyperlink>
    </w:p>
    <w:bookmarkEnd w:id="125"/>
    <w:bookmarkStart w:id="127" w:name="ref-reeves2009"/>
    <w:p>
      <w:pPr>
        <w:pStyle w:val="Bibliography"/>
      </w:pPr>
      <w:r>
        <w:t xml:space="preserve">Reeves, D., Bury, R., &amp; Robinson, D. W. (2009). Invoking occam’s razor: Experimental pigment processing and an hypothesis concerning emigdiano chumash rock art.</w:t>
      </w:r>
      <w:r>
        <w:t xml:space="preserve"> </w:t>
      </w:r>
      <w:r>
        <w:rPr>
          <w:iCs/>
          <w:i/>
        </w:rPr>
        <w:t xml:space="preserve">Journal of California and Great Basin Anthropology</w:t>
      </w:r>
      <w:r>
        <w:t xml:space="preserve">,</w:t>
      </w:r>
      <w:r>
        <w:t xml:space="preserve"> </w:t>
      </w:r>
      <w:r>
        <w:rPr>
          <w:iCs/>
          <w:i/>
        </w:rPr>
        <w:t xml:space="preserve">29</w:t>
      </w:r>
      <w:r>
        <w:t xml:space="preserve">(1), 59–67.</w:t>
      </w:r>
      <w:r>
        <w:t xml:space="preserve"> </w:t>
      </w:r>
      <w:hyperlink r:id="rId126">
        <w:r>
          <w:rPr>
            <w:rStyle w:val="Hyperlink"/>
          </w:rPr>
          <w:t xml:space="preserve">https://www.jstor.org/stable/27825902</w:t>
        </w:r>
      </w:hyperlink>
    </w:p>
    <w:bookmarkEnd w:id="127"/>
    <w:bookmarkStart w:id="129"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28">
        <w:r>
          <w:rPr>
            <w:rStyle w:val="Hyperlink"/>
          </w:rPr>
          <w:t xml:space="preserve">https://ore.exeter.ac.uk/repository/handle/10871/9041</w:t>
        </w:r>
      </w:hyperlink>
    </w:p>
    <w:bookmarkEnd w:id="129"/>
    <w:bookmarkStart w:id="130" w:name="ref-reynolds1999"/>
    <w:p>
      <w:pPr>
        <w:pStyle w:val="Bibliography"/>
      </w:pPr>
      <w:r>
        <w:t xml:space="preserve">Reynolds, P. J. (1999).</w:t>
      </w:r>
      <w:r>
        <w:t xml:space="preserve"> </w:t>
      </w:r>
      <w:r>
        <w:rPr>
          <w:iCs/>
          <w:i/>
        </w:rPr>
        <w:t xml:space="preserve">The nature of experiment in archaeology</w:t>
      </w:r>
      <w:r>
        <w:t xml:space="preserve"> </w:t>
      </w:r>
      <w:r>
        <w:t xml:space="preserve">(A. Harding, Ed.; pp. 156–162). Oxbow Books.</w:t>
      </w:r>
    </w:p>
    <w:bookmarkEnd w:id="130"/>
    <w:bookmarkStart w:id="132"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31">
        <w:r>
          <w:rPr>
            <w:rStyle w:val="Hyperlink"/>
          </w:rPr>
          <w:t xml:space="preserve">https://www.jstor.org/stable/20616293</w:t>
        </w:r>
      </w:hyperlink>
    </w:p>
    <w:bookmarkEnd w:id="132"/>
    <w:bookmarkStart w:id="134" w:name="ref-roux2005"/>
    <w:p>
      <w:pPr>
        <w:pStyle w:val="Bibliography"/>
      </w:pPr>
      <w:r>
        <w:t xml:space="preserve">Roux, V., &amp; David, É. (2005).</w:t>
      </w:r>
      <w:r>
        <w:t xml:space="preserve"> </w:t>
      </w:r>
      <w:r>
        <w:rPr>
          <w:iCs/>
          <w:i/>
        </w:rPr>
        <w:t xml:space="preserve">Planning abilities as a dynamic perceptual-motor skill: an actualist study of different levels of expertise involved in stone knapping</w:t>
      </w:r>
      <w:r>
        <w:t xml:space="preserve"> </w:t>
      </w:r>
      <w:r>
        <w:t xml:space="preserve">(V. Roux &amp; B. Bril, Eds.; pp. 91–108). McDonald Institute for Archaeological Research.</w:t>
      </w:r>
      <w:r>
        <w:t xml:space="preserve"> </w:t>
      </w:r>
      <w:hyperlink r:id="rId133">
        <w:r>
          <w:rPr>
            <w:rStyle w:val="Hyperlink"/>
          </w:rPr>
          <w:t xml:space="preserve">https://shs.hal.science/halshs-00120262</w:t>
        </w:r>
      </w:hyperlink>
    </w:p>
    <w:bookmarkEnd w:id="134"/>
    <w:bookmarkStart w:id="135"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35"/>
    <w:bookmarkStart w:id="137"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36">
        <w:r>
          <w:rPr>
            <w:rStyle w:val="Hyperlink"/>
          </w:rPr>
          <w:t xml:space="preserve">https://doi.org/10.1016/j.jas.2016.04.013</w:t>
        </w:r>
      </w:hyperlink>
    </w:p>
    <w:bookmarkEnd w:id="137"/>
    <w:bookmarkStart w:id="139"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138">
        <w:r>
          <w:rPr>
            <w:rStyle w:val="Hyperlink"/>
          </w:rPr>
          <w:t xml:space="preserve">https://doi.org/10.5334/jcaa.29</w:t>
        </w:r>
      </w:hyperlink>
    </w:p>
    <w:bookmarkEnd w:id="139"/>
    <w:bookmarkStart w:id="141"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140">
        <w:r>
          <w:rPr>
            <w:rStyle w:val="Hyperlink"/>
          </w:rPr>
          <w:t xml:space="preserve">https://doi.org/10.1177/1745691619856350</w:t>
        </w:r>
      </w:hyperlink>
    </w:p>
    <w:bookmarkEnd w:id="141"/>
    <w:bookmarkStart w:id="143"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42">
        <w:r>
          <w:rPr>
            <w:rStyle w:val="Hyperlink"/>
          </w:rPr>
          <w:t xml:space="preserve">https://doi.org/10.1145/2756406.2756951</w:t>
        </w:r>
      </w:hyperlink>
    </w:p>
    <w:bookmarkEnd w:id="143"/>
    <w:bookmarkStart w:id="145"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144">
        <w:r>
          <w:rPr>
            <w:rStyle w:val="Hyperlink"/>
          </w:rPr>
          <w:t xml:space="preserve">https://doi.org/10.1016/j.tics.2019.05.004</w:t>
        </w:r>
      </w:hyperlink>
    </w:p>
    <w:bookmarkEnd w:id="145"/>
    <w:bookmarkStart w:id="147"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146">
        <w:r>
          <w:rPr>
            <w:rStyle w:val="Hyperlink"/>
          </w:rPr>
          <w:t xml:space="preserve">https://doi.org/10.1086/342638</w:t>
        </w:r>
      </w:hyperlink>
    </w:p>
    <w:bookmarkEnd w:id="147"/>
    <w:bookmarkStart w:id="149" w:name="ref-stoutCognitiveScienceTechnology2021"/>
    <w:p>
      <w:pPr>
        <w:pStyle w:val="Bibliography"/>
      </w:pPr>
      <w:r>
        <w:t xml:space="preserve">Stout, D. (2021). The cognitive science of technology.</w:t>
      </w:r>
      <w:r>
        <w:t xml:space="preserve"> </w:t>
      </w:r>
      <w:r>
        <w:rPr>
          <w:iCs/>
          <w:i/>
        </w:rPr>
        <w:t xml:space="preserve">Trends in Cognitive Sciences</w:t>
      </w:r>
      <w:r>
        <w:t xml:space="preserve">,</w:t>
      </w:r>
      <w:r>
        <w:t xml:space="preserve"> </w:t>
      </w:r>
      <w:r>
        <w:rPr>
          <w:iCs/>
          <w:i/>
        </w:rPr>
        <w:t xml:space="preserve">25</w:t>
      </w:r>
      <w:r>
        <w:t xml:space="preserve">(11), 964–977.</w:t>
      </w:r>
      <w:r>
        <w:t xml:space="preserve"> </w:t>
      </w:r>
      <w:hyperlink r:id="rId148">
        <w:r>
          <w:rPr>
            <w:rStyle w:val="Hyperlink"/>
          </w:rPr>
          <w:t xml:space="preserve">https://doi.org/10.1016/j.tics.2021.07.005</w:t>
        </w:r>
      </w:hyperlink>
    </w:p>
    <w:bookmarkEnd w:id="149"/>
    <w:bookmarkStart w:id="151"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150">
        <w:r>
          <w:rPr>
            <w:rStyle w:val="Hyperlink"/>
          </w:rPr>
          <w:t xml:space="preserve">https://doi.org/10.1038/s41598-021-92992-5</w:t>
        </w:r>
      </w:hyperlink>
    </w:p>
    <w:bookmarkEnd w:id="151"/>
    <w:bookmarkStart w:id="153" w:name="ref-stout2023"/>
    <w:p>
      <w:pPr>
        <w:pStyle w:val="Bibliography"/>
      </w:pPr>
      <w:r>
        <w:t xml:space="preserve">Stout, D., &amp; Hecht, E. (2023).</w:t>
      </w:r>
      <w:r>
        <w:t xml:space="preserve"> </w:t>
      </w:r>
      <w:r>
        <w:rPr>
          <w:iCs/>
          <w:i/>
        </w:rPr>
        <w:t xml:space="preserve">Evolutionary neuroarchaeology</w:t>
      </w:r>
      <w:r>
        <w:t xml:space="preserve"> </w:t>
      </w:r>
      <w:r>
        <w:t xml:space="preserve">(T. Wynn, K. A. Overmann, &amp; F. L. Coolidge, Eds.; pp. C14.S1–C14.S11). Oxford University Press.</w:t>
      </w:r>
      <w:r>
        <w:t xml:space="preserve"> </w:t>
      </w:r>
      <w:hyperlink r:id="rId152">
        <w:r>
          <w:rPr>
            <w:rStyle w:val="Hyperlink"/>
          </w:rPr>
          <w:t xml:space="preserve">https://doi.org/10.1093/oxfordhb/9780192895950.013.14</w:t>
        </w:r>
      </w:hyperlink>
    </w:p>
    <w:bookmarkEnd w:id="153"/>
    <w:bookmarkStart w:id="155"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154">
        <w:r>
          <w:rPr>
            <w:rStyle w:val="Hyperlink"/>
          </w:rPr>
          <w:t xml:space="preserve">https://doi.org/10.1017/S0140525X21000431</w:t>
        </w:r>
      </w:hyperlink>
    </w:p>
    <w:bookmarkEnd w:id="155"/>
    <w:bookmarkStart w:id="157" w:name="ref-timbrell2023"/>
    <w:p>
      <w:pPr>
        <w:pStyle w:val="Bibliography"/>
      </w:pPr>
      <w:r>
        <w:t xml:space="preserve">Timbrell, L. (2023). A</w:t>
      </w:r>
      <w:r>
        <w:t xml:space="preserve"> </w:t>
      </w:r>
      <w:r>
        <w:t xml:space="preserve">Collaborative</w:t>
      </w:r>
      <w:r>
        <w:t xml:space="preserve"> </w:t>
      </w:r>
      <w:r>
        <w:t xml:space="preserve">Model</w:t>
      </w:r>
      <w:r>
        <w:t xml:space="preserve"> </w:t>
      </w:r>
      <w:r>
        <w:t xml:space="preserve">for</w:t>
      </w:r>
      <w:r>
        <w:t xml:space="preserve"> </w:t>
      </w:r>
      <w:r>
        <w:t xml:space="preserve">Lithic</w:t>
      </w:r>
      <w:r>
        <w:t xml:space="preserve"> </w:t>
      </w:r>
      <w:r>
        <w:t xml:space="preserve">Shape</w:t>
      </w:r>
      <w:r>
        <w:t xml:space="preserve"> </w:t>
      </w:r>
      <w:r>
        <w:t xml:space="preserve">Digitization</w:t>
      </w:r>
      <w:r>
        <w:t xml:space="preserve"> </w:t>
      </w:r>
      <w:r>
        <w:t xml:space="preserve">in</w:t>
      </w:r>
      <w:r>
        <w:t xml:space="preserve"> </w:t>
      </w:r>
      <w:r>
        <w:t xml:space="preserve">Museum</w:t>
      </w:r>
      <w:r>
        <w:t xml:space="preserve"> </w:t>
      </w:r>
      <w:r>
        <w:t xml:space="preserve">Settings</w:t>
      </w:r>
      <w:r>
        <w:t xml:space="preserve">.</w:t>
      </w:r>
      <w:r>
        <w:t xml:space="preserve"> </w:t>
      </w:r>
      <w:r>
        <w:rPr>
          <w:iCs/>
          <w:i/>
        </w:rPr>
        <w:t xml:space="preserve">Lithic Technology</w:t>
      </w:r>
      <w:r>
        <w:t xml:space="preserve">,</w:t>
      </w:r>
      <w:r>
        <w:t xml:space="preserve"> </w:t>
      </w:r>
      <w:r>
        <w:rPr>
          <w:iCs/>
          <w:i/>
        </w:rPr>
        <w:t xml:space="preserve">48</w:t>
      </w:r>
      <w:r>
        <w:t xml:space="preserve">(1), 31–42.</w:t>
      </w:r>
      <w:r>
        <w:t xml:space="preserve"> </w:t>
      </w:r>
      <w:hyperlink r:id="rId156">
        <w:r>
          <w:rPr>
            <w:rStyle w:val="Hyperlink"/>
          </w:rPr>
          <w:t xml:space="preserve">https://doi.org/10.1080/01977261.2022.2092299</w:t>
        </w:r>
      </w:hyperlink>
    </w:p>
    <w:bookmarkEnd w:id="157"/>
    <w:bookmarkStart w:id="158"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158"/>
    <w:bookmarkStart w:id="160" w:name="ref-weger2019"/>
    <w:p>
      <w:pPr>
        <w:pStyle w:val="Bibliography"/>
      </w:pPr>
      <w:r>
        <w:t xml:space="preserve">Weger, U. W., Wagemann, J., &amp; Tewes, C. (2019). Editorial: The challenges and opportunities of introspection in psychology: Theory and method.</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59">
        <w:r>
          <w:rPr>
            <w:rStyle w:val="Hyperlink"/>
          </w:rPr>
          <w:t xml:space="preserve">https://www.frontiersin.org/articles/10.3389/fpsyg.2019.02196</w:t>
        </w:r>
      </w:hyperlink>
    </w:p>
    <w:bookmarkEnd w:id="160"/>
    <w:bookmarkStart w:id="161" w:name="ref-whittaker1994"/>
    <w:p>
      <w:pPr>
        <w:pStyle w:val="Bibliography"/>
      </w:pPr>
      <w:r>
        <w:t xml:space="preserve">Whittaker, J. C. (1994).</w:t>
      </w:r>
      <w:r>
        <w:t xml:space="preserve"> </w:t>
      </w:r>
      <w:r>
        <w:rPr>
          <w:iCs/>
          <w:i/>
        </w:rPr>
        <w:t xml:space="preserve">Flintknapping: Making and Understanding Stone Tools</w:t>
      </w:r>
      <w:r>
        <w:t xml:space="preserve">. University of Texas Press.</w:t>
      </w:r>
    </w:p>
    <w:bookmarkEnd w:id="161"/>
    <w:bookmarkStart w:id="162" w:name="ref-whittaker2004"/>
    <w:p>
      <w:pPr>
        <w:pStyle w:val="Bibliography"/>
      </w:pPr>
      <w:r>
        <w:t xml:space="preserve">Whittaker, J. C. (2004).</w:t>
      </w:r>
      <w:r>
        <w:t xml:space="preserve"> </w:t>
      </w:r>
      <w:r>
        <w:rPr>
          <w:iCs/>
          <w:i/>
        </w:rPr>
        <w:t xml:space="preserve">American Flintknappers: Stone Age Art in the Age of Computers</w:t>
      </w:r>
      <w:r>
        <w:t xml:space="preserve">. University of Texas Press.</w:t>
      </w:r>
    </w:p>
    <w:bookmarkEnd w:id="162"/>
    <w:bookmarkStart w:id="16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63">
        <w:r>
          <w:rPr>
            <w:rStyle w:val="Hyperlink"/>
          </w:rPr>
          <w:t xml:space="preserve">https://doi.org/10.1038/sdata.2016.18</w:t>
        </w:r>
      </w:hyperlink>
    </w:p>
    <w:bookmarkEnd w:id="164"/>
    <w:bookmarkStart w:id="166" w:name="ref-yarkoni2022"/>
    <w:p>
      <w:pPr>
        <w:pStyle w:val="Bibliography"/>
      </w:pPr>
      <w:r>
        <w:t xml:space="preserve">Yarkoni, T. (2022). The generalizability crisis.</w:t>
      </w:r>
      <w:r>
        <w:t xml:space="preserve"> </w:t>
      </w:r>
      <w:r>
        <w:rPr>
          <w:iCs/>
          <w:i/>
        </w:rPr>
        <w:t xml:space="preserve">Behavioral and Brain Sciences</w:t>
      </w:r>
      <w:r>
        <w:t xml:space="preserve">,</w:t>
      </w:r>
      <w:r>
        <w:t xml:space="preserve"> </w:t>
      </w:r>
      <w:r>
        <w:rPr>
          <w:iCs/>
          <w:i/>
        </w:rPr>
        <w:t xml:space="preserve">45</w:t>
      </w:r>
      <w:r>
        <w:t xml:space="preserve">, e1.</w:t>
      </w:r>
      <w:r>
        <w:t xml:space="preserve"> </w:t>
      </w:r>
      <w:hyperlink r:id="rId165">
        <w:r>
          <w:rPr>
            <w:rStyle w:val="Hyperlink"/>
          </w:rPr>
          <w:t xml:space="preserve">https://doi.org/10.1017/S0140525X20001685</w:t>
        </w:r>
      </w:hyperlink>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hyperlink" Id="rId124" Target="https://doi.org/10.1002/evan.21823" TargetMode="External" /><Relationship Type="http://schemas.openxmlformats.org/officeDocument/2006/relationships/hyperlink" Id="rId92" Target="https://doi.org/10.1002/evan.21964" TargetMode="External" /><Relationship Type="http://schemas.openxmlformats.org/officeDocument/2006/relationships/hyperlink" Id="rId84" Target="https://doi.org/10.1007/s00146-022-01573-1" TargetMode="External" /><Relationship Type="http://schemas.openxmlformats.org/officeDocument/2006/relationships/hyperlink" Id="rId88" Target="https://doi.org/10.1007/s10816-017-9351-1" TargetMode="External" /><Relationship Type="http://schemas.openxmlformats.org/officeDocument/2006/relationships/hyperlink" Id="rId122" Target="https://doi.org/10.1007/s10816-021-09511-z" TargetMode="External" /><Relationship Type="http://schemas.openxmlformats.org/officeDocument/2006/relationships/hyperlink" Id="rId86" Target="https://doi.org/10.1007/s10816-022-09586-2" TargetMode="External" /><Relationship Type="http://schemas.openxmlformats.org/officeDocument/2006/relationships/hyperlink" Id="rId117" Target="https://doi.org/10.1007/s10816-022-09592-4" TargetMode="External" /><Relationship Type="http://schemas.openxmlformats.org/officeDocument/2006/relationships/hyperlink" Id="rId119" Target="https://doi.org/10.1007/s12520-018-0729-0" TargetMode="External" /><Relationship Type="http://schemas.openxmlformats.org/officeDocument/2006/relationships/hyperlink" Id="rId63" Target="https://doi.org/10.1016/bs.asb.2018.01.001" TargetMode="External" /><Relationship Type="http://schemas.openxmlformats.org/officeDocument/2006/relationships/hyperlink" Id="rId74" Target="https://doi.org/10.1016/j.cub.2021.01.096" TargetMode="External" /><Relationship Type="http://schemas.openxmlformats.org/officeDocument/2006/relationships/hyperlink" Id="rId136" Target="https://doi.org/10.1016/j.jas.2016.04.013" TargetMode="External" /><Relationship Type="http://schemas.openxmlformats.org/officeDocument/2006/relationships/hyperlink" Id="rId90" Target="https://doi.org/10.1016/j.jasrep.2023.103974" TargetMode="External" /><Relationship Type="http://schemas.openxmlformats.org/officeDocument/2006/relationships/hyperlink" Id="rId113" Target="https://doi.org/10.1016/j.neuroimage.2020.117254" TargetMode="External" /><Relationship Type="http://schemas.openxmlformats.org/officeDocument/2006/relationships/hyperlink" Id="rId104" Target="https://doi.org/10.1016/j.neuron.2021.05.021" TargetMode="External" /><Relationship Type="http://schemas.openxmlformats.org/officeDocument/2006/relationships/hyperlink" Id="rId99" Target="https://doi.org/10.1016/j.quascirev.2020.106431" TargetMode="External" /><Relationship Type="http://schemas.openxmlformats.org/officeDocument/2006/relationships/hyperlink" Id="rId144" Target="https://doi.org/10.1016/j.tics.2019.05.004" TargetMode="External" /><Relationship Type="http://schemas.openxmlformats.org/officeDocument/2006/relationships/hyperlink" Id="rId43" Target="https://doi.org/10.1016/j.tics.2020.05.007" TargetMode="External" /><Relationship Type="http://schemas.openxmlformats.org/officeDocument/2006/relationships/hyperlink" Id="rId148" Target="https://doi.org/10.1016/j.tics.2021.07.005" TargetMode="External" /><Relationship Type="http://schemas.openxmlformats.org/officeDocument/2006/relationships/hyperlink" Id="rId165" Target="https://doi.org/10.1017/S0140525X20001685" TargetMode="External" /><Relationship Type="http://schemas.openxmlformats.org/officeDocument/2006/relationships/hyperlink" Id="rId154" Target="https://doi.org/10.1017/S0140525X21000431" TargetMode="External" /><Relationship Type="http://schemas.openxmlformats.org/officeDocument/2006/relationships/hyperlink" Id="rId108" Target="https://doi.org/10.1017/S0959774320000190" TargetMode="External" /><Relationship Type="http://schemas.openxmlformats.org/officeDocument/2006/relationships/hyperlink" Id="rId41" Target="https://doi.org/10.1017/S0959774320000347" TargetMode="External" /><Relationship Type="http://schemas.openxmlformats.org/officeDocument/2006/relationships/hyperlink" Id="rId110" Target="https://doi.org/10.1017/S0959774323000070" TargetMode="External" /><Relationship Type="http://schemas.openxmlformats.org/officeDocument/2006/relationships/hyperlink" Id="rId79" Target="https://doi.org/10.1037/1076-898X.5.2.205" TargetMode="External" /><Relationship Type="http://schemas.openxmlformats.org/officeDocument/2006/relationships/hyperlink" Id="rId94" Target="https://doi.org/10.1038/s41598-017-14322-y" TargetMode="External" /><Relationship Type="http://schemas.openxmlformats.org/officeDocument/2006/relationships/hyperlink" Id="rId150" Target="https://doi.org/10.1038/s41598-021-92992-5" TargetMode="External" /><Relationship Type="http://schemas.openxmlformats.org/officeDocument/2006/relationships/hyperlink" Id="rId163" Target="https://doi.org/10.1038/sdata.2016.18" TargetMode="External" /><Relationship Type="http://schemas.openxmlformats.org/officeDocument/2006/relationships/hyperlink" Id="rId47" Target="https://doi.org/10.1080/00031305.2017.1375989" TargetMode="External" /><Relationship Type="http://schemas.openxmlformats.org/officeDocument/2006/relationships/hyperlink" Id="rId68" Target="https://doi.org/10.1080/00141844.2018.1455726" TargetMode="External" /><Relationship Type="http://schemas.openxmlformats.org/officeDocument/2006/relationships/hyperlink" Id="rId57" Target="https://doi.org/10.1080/00438240701843629" TargetMode="External" /><Relationship Type="http://schemas.openxmlformats.org/officeDocument/2006/relationships/hyperlink" Id="rId53" Target="https://doi.org/10.1080/01977261.2019.1587255" TargetMode="External" /><Relationship Type="http://schemas.openxmlformats.org/officeDocument/2006/relationships/hyperlink" Id="rId156" Target="https://doi.org/10.1080/01977261.2022.2092299" TargetMode="External" /><Relationship Type="http://schemas.openxmlformats.org/officeDocument/2006/relationships/hyperlink" Id="rId59" Target="https://doi.org/10.1080/19442890.2016.1213972" TargetMode="External" /><Relationship Type="http://schemas.openxmlformats.org/officeDocument/2006/relationships/hyperlink" Id="rId82" Target="https://doi.org/10.1086/202078" TargetMode="External" /><Relationship Type="http://schemas.openxmlformats.org/officeDocument/2006/relationships/hyperlink" Id="rId146" Target="https://doi.org/10.1086/342638" TargetMode="External" /><Relationship Type="http://schemas.openxmlformats.org/officeDocument/2006/relationships/hyperlink" Id="rId152" Target="https://doi.org/10.1093/oxfordhb/9780192895950.013.14" TargetMode="External" /><Relationship Type="http://schemas.openxmlformats.org/officeDocument/2006/relationships/hyperlink" Id="rId38" Target="https://doi.org/10.1098/rsfs.2017.0004" TargetMode="External" /><Relationship Type="http://schemas.openxmlformats.org/officeDocument/2006/relationships/hyperlink" Id="rId65" Target="https://doi.org/10.1111/2041-210X.12584" TargetMode="External" /><Relationship Type="http://schemas.openxmlformats.org/officeDocument/2006/relationships/hyperlink" Id="rId142" Target="https://doi.org/10.1145/2756406.2756951" TargetMode="External" /><Relationship Type="http://schemas.openxmlformats.org/officeDocument/2006/relationships/hyperlink" Id="rId61" Target="https://doi.org/10.1146/annurev.an.13.100184.001155" TargetMode="External" /><Relationship Type="http://schemas.openxmlformats.org/officeDocument/2006/relationships/hyperlink" Id="rId140" Target="https://doi.org/10.1177/1745691619856350" TargetMode="External" /><Relationship Type="http://schemas.openxmlformats.org/officeDocument/2006/relationships/hyperlink" Id="rId76" Target="https://doi.org/10.1257/aer.91.2.73" TargetMode="External" /><Relationship Type="http://schemas.openxmlformats.org/officeDocument/2006/relationships/hyperlink" Id="rId101" Target="https://doi.org/10.1371/journal.pone.0273118" TargetMode="External" /><Relationship Type="http://schemas.openxmlformats.org/officeDocument/2006/relationships/hyperlink" Id="rId106" Target="https://doi.org/10.15184/aqy.2023.98" TargetMode="External" /><Relationship Type="http://schemas.openxmlformats.org/officeDocument/2006/relationships/hyperlink" Id="rId45" Target="https://doi.org/10.2218/jls.v3i1.1522" TargetMode="External" /><Relationship Type="http://schemas.openxmlformats.org/officeDocument/2006/relationships/hyperlink" Id="rId55" Target="https://doi.org/10.2307/j.ctv1c29t27" TargetMode="External" /><Relationship Type="http://schemas.openxmlformats.org/officeDocument/2006/relationships/hyperlink" Id="rId96" Target="https://doi.org/10.4207/PA.2014.ART90" TargetMode="External" /><Relationship Type="http://schemas.openxmlformats.org/officeDocument/2006/relationships/hyperlink" Id="rId49" Target="https://doi.org/10.5334/dsj-2020-043" TargetMode="External" /><Relationship Type="http://schemas.openxmlformats.org/officeDocument/2006/relationships/hyperlink" Id="rId138" Target="https://doi.org/10.5334/jcaa.29" TargetMode="External" /><Relationship Type="http://schemas.openxmlformats.org/officeDocument/2006/relationships/hyperlink" Id="rId128" Target="https://ore.exeter.ac.uk/repository/handle/10871/9041" TargetMode="External" /><Relationship Type="http://schemas.openxmlformats.org/officeDocument/2006/relationships/hyperlink" Id="rId133" Target="https://shs.hal.science/halshs-00120262" TargetMode="External" /><Relationship Type="http://schemas.openxmlformats.org/officeDocument/2006/relationships/hyperlink" Id="rId72" Target="https://www.frontiersin.org/articles/10.3389/fpsyg.2014.01472" TargetMode="External" /><Relationship Type="http://schemas.openxmlformats.org/officeDocument/2006/relationships/hyperlink" Id="rId159" Target="https://www.frontiersin.org/articles/10.3389/fpsyg.2019.02196" TargetMode="External" /><Relationship Type="http://schemas.openxmlformats.org/officeDocument/2006/relationships/hyperlink" Id="rId131" Target="https://www.jstor.org/stable/20616293" TargetMode="External" /><Relationship Type="http://schemas.openxmlformats.org/officeDocument/2006/relationships/hyperlink" Id="rId126" Target="https://www.jstor.org/stable/27825902" TargetMode="External" /><Relationship Type="http://schemas.openxmlformats.org/officeDocument/2006/relationships/hyperlink" Id="rId115" Target="https://www.jstor.org/stable/40025310" TargetMode="External" /><Relationship Type="http://schemas.openxmlformats.org/officeDocument/2006/relationships/hyperlink" Id="rId21" Target="mailto:cheng.liu@emory.edu"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2/evan.21823" TargetMode="External" /><Relationship Type="http://schemas.openxmlformats.org/officeDocument/2006/relationships/hyperlink" Id="rId92" Target="https://doi.org/10.1002/evan.21964" TargetMode="External" /><Relationship Type="http://schemas.openxmlformats.org/officeDocument/2006/relationships/hyperlink" Id="rId84" Target="https://doi.org/10.1007/s00146-022-01573-1" TargetMode="External" /><Relationship Type="http://schemas.openxmlformats.org/officeDocument/2006/relationships/hyperlink" Id="rId88" Target="https://doi.org/10.1007/s10816-017-9351-1" TargetMode="External" /><Relationship Type="http://schemas.openxmlformats.org/officeDocument/2006/relationships/hyperlink" Id="rId122" Target="https://doi.org/10.1007/s10816-021-09511-z" TargetMode="External" /><Relationship Type="http://schemas.openxmlformats.org/officeDocument/2006/relationships/hyperlink" Id="rId86" Target="https://doi.org/10.1007/s10816-022-09586-2" TargetMode="External" /><Relationship Type="http://schemas.openxmlformats.org/officeDocument/2006/relationships/hyperlink" Id="rId117" Target="https://doi.org/10.1007/s10816-022-09592-4" TargetMode="External" /><Relationship Type="http://schemas.openxmlformats.org/officeDocument/2006/relationships/hyperlink" Id="rId119" Target="https://doi.org/10.1007/s12520-018-0729-0" TargetMode="External" /><Relationship Type="http://schemas.openxmlformats.org/officeDocument/2006/relationships/hyperlink" Id="rId63" Target="https://doi.org/10.1016/bs.asb.2018.01.001" TargetMode="External" /><Relationship Type="http://schemas.openxmlformats.org/officeDocument/2006/relationships/hyperlink" Id="rId74" Target="https://doi.org/10.1016/j.cub.2021.01.096" TargetMode="External" /><Relationship Type="http://schemas.openxmlformats.org/officeDocument/2006/relationships/hyperlink" Id="rId136" Target="https://doi.org/10.1016/j.jas.2016.04.013" TargetMode="External" /><Relationship Type="http://schemas.openxmlformats.org/officeDocument/2006/relationships/hyperlink" Id="rId90" Target="https://doi.org/10.1016/j.jasrep.2023.103974" TargetMode="External" /><Relationship Type="http://schemas.openxmlformats.org/officeDocument/2006/relationships/hyperlink" Id="rId113" Target="https://doi.org/10.1016/j.neuroimage.2020.117254" TargetMode="External" /><Relationship Type="http://schemas.openxmlformats.org/officeDocument/2006/relationships/hyperlink" Id="rId104" Target="https://doi.org/10.1016/j.neuron.2021.05.021" TargetMode="External" /><Relationship Type="http://schemas.openxmlformats.org/officeDocument/2006/relationships/hyperlink" Id="rId99" Target="https://doi.org/10.1016/j.quascirev.2020.106431" TargetMode="External" /><Relationship Type="http://schemas.openxmlformats.org/officeDocument/2006/relationships/hyperlink" Id="rId144" Target="https://doi.org/10.1016/j.tics.2019.05.004" TargetMode="External" /><Relationship Type="http://schemas.openxmlformats.org/officeDocument/2006/relationships/hyperlink" Id="rId43" Target="https://doi.org/10.1016/j.tics.2020.05.007" TargetMode="External" /><Relationship Type="http://schemas.openxmlformats.org/officeDocument/2006/relationships/hyperlink" Id="rId148" Target="https://doi.org/10.1016/j.tics.2021.07.005" TargetMode="External" /><Relationship Type="http://schemas.openxmlformats.org/officeDocument/2006/relationships/hyperlink" Id="rId165" Target="https://doi.org/10.1017/S0140525X20001685" TargetMode="External" /><Relationship Type="http://schemas.openxmlformats.org/officeDocument/2006/relationships/hyperlink" Id="rId154" Target="https://doi.org/10.1017/S0140525X21000431" TargetMode="External" /><Relationship Type="http://schemas.openxmlformats.org/officeDocument/2006/relationships/hyperlink" Id="rId108" Target="https://doi.org/10.1017/S0959774320000190" TargetMode="External" /><Relationship Type="http://schemas.openxmlformats.org/officeDocument/2006/relationships/hyperlink" Id="rId41" Target="https://doi.org/10.1017/S0959774320000347" TargetMode="External" /><Relationship Type="http://schemas.openxmlformats.org/officeDocument/2006/relationships/hyperlink" Id="rId110" Target="https://doi.org/10.1017/S0959774323000070" TargetMode="External" /><Relationship Type="http://schemas.openxmlformats.org/officeDocument/2006/relationships/hyperlink" Id="rId79" Target="https://doi.org/10.1037/1076-898X.5.2.205" TargetMode="External" /><Relationship Type="http://schemas.openxmlformats.org/officeDocument/2006/relationships/hyperlink" Id="rId94" Target="https://doi.org/10.1038/s41598-017-14322-y" TargetMode="External" /><Relationship Type="http://schemas.openxmlformats.org/officeDocument/2006/relationships/hyperlink" Id="rId150" Target="https://doi.org/10.1038/s41598-021-92992-5" TargetMode="External" /><Relationship Type="http://schemas.openxmlformats.org/officeDocument/2006/relationships/hyperlink" Id="rId163" Target="https://doi.org/10.1038/sdata.2016.18" TargetMode="External" /><Relationship Type="http://schemas.openxmlformats.org/officeDocument/2006/relationships/hyperlink" Id="rId47" Target="https://doi.org/10.1080/00031305.2017.1375989" TargetMode="External" /><Relationship Type="http://schemas.openxmlformats.org/officeDocument/2006/relationships/hyperlink" Id="rId68" Target="https://doi.org/10.1080/00141844.2018.1455726" TargetMode="External" /><Relationship Type="http://schemas.openxmlformats.org/officeDocument/2006/relationships/hyperlink" Id="rId57" Target="https://doi.org/10.1080/00438240701843629" TargetMode="External" /><Relationship Type="http://schemas.openxmlformats.org/officeDocument/2006/relationships/hyperlink" Id="rId53" Target="https://doi.org/10.1080/01977261.2019.1587255" TargetMode="External" /><Relationship Type="http://schemas.openxmlformats.org/officeDocument/2006/relationships/hyperlink" Id="rId156" Target="https://doi.org/10.1080/01977261.2022.2092299" TargetMode="External" /><Relationship Type="http://schemas.openxmlformats.org/officeDocument/2006/relationships/hyperlink" Id="rId59" Target="https://doi.org/10.1080/19442890.2016.1213972" TargetMode="External" /><Relationship Type="http://schemas.openxmlformats.org/officeDocument/2006/relationships/hyperlink" Id="rId82" Target="https://doi.org/10.1086/202078" TargetMode="External" /><Relationship Type="http://schemas.openxmlformats.org/officeDocument/2006/relationships/hyperlink" Id="rId146" Target="https://doi.org/10.1086/342638" TargetMode="External" /><Relationship Type="http://schemas.openxmlformats.org/officeDocument/2006/relationships/hyperlink" Id="rId152" Target="https://doi.org/10.1093/oxfordhb/9780192895950.013.14" TargetMode="External" /><Relationship Type="http://schemas.openxmlformats.org/officeDocument/2006/relationships/hyperlink" Id="rId38" Target="https://doi.org/10.1098/rsfs.2017.0004" TargetMode="External" /><Relationship Type="http://schemas.openxmlformats.org/officeDocument/2006/relationships/hyperlink" Id="rId65" Target="https://doi.org/10.1111/2041-210X.12584" TargetMode="External" /><Relationship Type="http://schemas.openxmlformats.org/officeDocument/2006/relationships/hyperlink" Id="rId142" Target="https://doi.org/10.1145/2756406.2756951" TargetMode="External" /><Relationship Type="http://schemas.openxmlformats.org/officeDocument/2006/relationships/hyperlink" Id="rId61" Target="https://doi.org/10.1146/annurev.an.13.100184.001155" TargetMode="External" /><Relationship Type="http://schemas.openxmlformats.org/officeDocument/2006/relationships/hyperlink" Id="rId140" Target="https://doi.org/10.1177/1745691619856350" TargetMode="External" /><Relationship Type="http://schemas.openxmlformats.org/officeDocument/2006/relationships/hyperlink" Id="rId76" Target="https://doi.org/10.1257/aer.91.2.73" TargetMode="External" /><Relationship Type="http://schemas.openxmlformats.org/officeDocument/2006/relationships/hyperlink" Id="rId101" Target="https://doi.org/10.1371/journal.pone.0273118" TargetMode="External" /><Relationship Type="http://schemas.openxmlformats.org/officeDocument/2006/relationships/hyperlink" Id="rId106" Target="https://doi.org/10.15184/aqy.2023.98" TargetMode="External" /><Relationship Type="http://schemas.openxmlformats.org/officeDocument/2006/relationships/hyperlink" Id="rId45" Target="https://doi.org/10.2218/jls.v3i1.1522" TargetMode="External" /><Relationship Type="http://schemas.openxmlformats.org/officeDocument/2006/relationships/hyperlink" Id="rId55" Target="https://doi.org/10.2307/j.ctv1c29t27" TargetMode="External" /><Relationship Type="http://schemas.openxmlformats.org/officeDocument/2006/relationships/hyperlink" Id="rId96" Target="https://doi.org/10.4207/PA.2014.ART90" TargetMode="External" /><Relationship Type="http://schemas.openxmlformats.org/officeDocument/2006/relationships/hyperlink" Id="rId49" Target="https://doi.org/10.5334/dsj-2020-043" TargetMode="External" /><Relationship Type="http://schemas.openxmlformats.org/officeDocument/2006/relationships/hyperlink" Id="rId138" Target="https://doi.org/10.5334/jcaa.29" TargetMode="External" /><Relationship Type="http://schemas.openxmlformats.org/officeDocument/2006/relationships/hyperlink" Id="rId128" Target="https://ore.exeter.ac.uk/repository/handle/10871/9041" TargetMode="External" /><Relationship Type="http://schemas.openxmlformats.org/officeDocument/2006/relationships/hyperlink" Id="rId133" Target="https://shs.hal.science/halshs-00120262" TargetMode="External" /><Relationship Type="http://schemas.openxmlformats.org/officeDocument/2006/relationships/hyperlink" Id="rId72" Target="https://www.frontiersin.org/articles/10.3389/fpsyg.2014.01472" TargetMode="External" /><Relationship Type="http://schemas.openxmlformats.org/officeDocument/2006/relationships/hyperlink" Id="rId159" Target="https://www.frontiersin.org/articles/10.3389/fpsyg.2019.02196" TargetMode="External" /><Relationship Type="http://schemas.openxmlformats.org/officeDocument/2006/relationships/hyperlink" Id="rId131" Target="https://www.jstor.org/stable/20616293" TargetMode="External" /><Relationship Type="http://schemas.openxmlformats.org/officeDocument/2006/relationships/hyperlink" Id="rId126" Target="https://www.jstor.org/stable/27825902" TargetMode="External" /><Relationship Type="http://schemas.openxmlformats.org/officeDocument/2006/relationships/hyperlink" Id="rId115" Target="https://www.jstor.org/stable/40025310" TargetMode="External" /><Relationship Type="http://schemas.openxmlformats.org/officeDocument/2006/relationships/hyperlink" Id="rId21" Target="mailto:cheng.liu@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dcterms:created xsi:type="dcterms:W3CDTF">2023-09-17T04:18:36Z</dcterms:created>
  <dcterms:modified xsi:type="dcterms:W3CDTF">2023-09-17T04:18:36Z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outline of the Perception-Process-Product (‘Triple P’) conceptual framework that aims to expand the scope of experimental archaeology. The Triple P framework emphasizes the amplification of multi-level variation and the identification of interacting relationships of variations across the levels of perception, process, and product. Here I propose the following three ontologically and epistemologically based principles to put the Triple P framework into practice: 1) acknowledging the contribution and limitations of actualistic experiments in the trade-off of causality and generalizability;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Ethnographical analysis;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2023-09-17</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