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color w:val="666666"/>
          <w:sz w:val="28"/>
          <w:szCs w:val="28"/>
        </w:rPr>
        <w:t xml:space="preserve">T1.1 – Documentación del Patrón</w:t>
      </w:r>
    </w:p>
    <w:p>
      <w:pPr>
        <w:spacing w:after="300" w:before="0"/>
        <w:jc w:val="center"/>
      </w:pPr>
      <w:r>
        <w:rPr>
          <w:rFonts w:ascii="Arial" w:cs="Arial" w:eastAsia="Arial" w:hAnsi="Arial"/>
          <w:b/>
          <w:bCs/>
          <w:color w:val="1F3864"/>
          <w:sz w:val="56"/>
          <w:szCs w:val="56"/>
        </w:rPr>
        <w:t xml:space="preserve">COMMAND</w:t>
      </w:r>
    </w:p>
    <w:p>
      <w:pPr>
        <w:spacing w:after="120" w:before="0"/>
        <w:jc w:val="center"/>
      </w:pPr>
      <w:r>
        <w:rPr>
          <w:rFonts w:ascii="Arial" w:cs="Arial" w:eastAsia="Arial" w:hAnsi="Arial"/>
          <w:color w:val="404040"/>
          <w:sz w:val="24"/>
          <w:szCs w:val="24"/>
        </w:rPr>
        <w:t xml:space="preserve">Proyecto: Smart Parking Lot</w:t>
      </w:r>
    </w:p>
    <w:p>
      <w:pPr>
        <w:spacing w:after="120" w:before="0"/>
        <w:jc w:val="center"/>
      </w:pPr>
      <w:r>
        <w:rPr>
          <w:rFonts w:ascii="Arial" w:cs="Arial" w:eastAsia="Arial" w:hAnsi="Arial"/>
          <w:color w:val="777777"/>
          <w:sz w:val="22"/>
          <w:szCs w:val="22"/>
        </w:rPr>
        <w:t xml:space="preserve">Lab – Design Patterns  |  Documentación &amp; Evidencia</w:t>
      </w:r>
    </w:p>
    <w:p>
      <w:pPr>
        <w:spacing w:after="80" w:before="0"/>
        <w:jc w:val="center"/>
      </w:pPr>
      <w:r>
        <w:rPr>
          <w:rFonts w:ascii="Arial" w:cs="Arial" w:eastAsia="Arial" w:hAnsi="Arial"/>
          <w:color w:val="777777"/>
          <w:sz w:val="22"/>
          <w:szCs w:val="22"/>
        </w:rPr>
        <w:t xml:space="preserve">Santiago Barrera Meza  –  Johan Sebastián Forero Agudelo</w:t>
      </w:r>
    </w:p>
    <w:p>
      <w:pPr>
        <w:spacing w:after="80" w:before="0"/>
        <w:jc w:val="center"/>
      </w:pPr>
      <w:r>
        <w:rPr>
          <w:rFonts w:ascii="Arial" w:cs="Arial" w:eastAsia="Arial" w:hAnsi="Arial"/>
          <w:color w:val="888888"/>
          <w:sz w:val="22"/>
          <w:szCs w:val="22"/>
        </w:rPr>
        <w:t xml:space="preserve">Universidad de los Llanos  |  Mayo 2026</w:t>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1. ¿Qué es el Patrón Command?</w:t>
      </w:r>
    </w:p>
    <w:p>
      <w:pPr>
        <w:spacing w:after="100" w:before="80"/>
      </w:pPr>
      <w:r>
        <w:rPr>
          <w:rFonts w:ascii="Arial" w:cs="Arial" w:eastAsia="Arial" w:hAnsi="Arial"/>
          <w:sz w:val="22"/>
          <w:szCs w:val="22"/>
        </w:rPr>
        <w:t xml:space="preserve">El patrón Command es un patrón de diseño de comportamiento que convierte una solicitud u operación en un objeto independiente que contiene toda la información necesaria para ejecutarla. Este objeto —llamado comando— puede pasarse, almacenarse, encolarse o deshacerse en cualquier momento.</w:t>
      </w:r>
    </w:p>
    <w:p>
      <w:pPr>
        <w:spacing w:after="60" w:before="60"/>
      </w:pPr>
      <w:r>
        <w:t xml:space="preserve"/>
      </w:r>
    </w:p>
    <w:p>
      <w:pPr>
        <w:spacing w:after="100" w:before="80"/>
      </w:pPr>
      <w:r>
        <w:rPr>
          <w:rFonts w:ascii="Arial" w:cs="Arial" w:eastAsia="Arial" w:hAnsi="Arial"/>
          <w:sz w:val="22"/>
          <w:szCs w:val="22"/>
        </w:rPr>
        <w:t xml:space="preserve">El patrón resuelve un problema fundamental: desacoplar al emisor de una solicitud del receptor que la ejecuta. Sin él, el código que desencadena una acción necesita conocer los detalles de quién y cómo la ejecuta; con Command, sólo le importa invocar el objeto.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Participantes del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 / Rol</w:t>
            </w:r>
          </w:p>
        </w:tc>
        <w:tc>
          <w:tcPr>
            <w:tcW w:type="dxa" w:w="4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Command</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Interfaz / Clase abstracta</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Declara el método de ejecución (Execute / ExecuteAsync).</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ConcreteCommand</w:t>
            </w:r>
          </w:p>
        </w:tc>
        <w:tc>
          <w:tcPr>
            <w:tcW w:type="dxa" w:w="2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Implementación concreta</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Implementa la lógica y llama al Receiver con los parámetros necesarios.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Receiver</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Receptor</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Sabe cómo realizar la operación real (lógica de negocio).</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Invoker</w:t>
            </w:r>
          </w:p>
        </w:tc>
        <w:tc>
          <w:tcPr>
            <w:tcW w:type="dxa" w:w="2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Invocador</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Almacena y dispara el comando sin conocer su implementación concreta.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Client</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Cliente</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 el ConcreteCommand y lo entrega al Invoker.</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2. ¿Por Qué Usar el Patrón Command?</w:t>
      </w:r>
    </w:p>
    <w:p>
      <w:pPr>
        <w:spacing w:after="100" w:before="80"/>
      </w:pPr>
      <w:r>
        <w:rPr>
          <w:rFonts w:ascii="Arial" w:cs="Arial" w:eastAsia="Arial" w:hAnsi="Arial"/>
          <w:sz w:val="22"/>
          <w:szCs w:val="22"/>
        </w:rPr>
        <w:t xml:space="preserve">El patrón Command aporta los siguientes beneficios arquitectónicos:</w:t>
      </w:r>
    </w:p>
    <w:p>
      <w:pPr>
        <w:pStyle w:val="ListParagraph"/>
        <w:numPr>
          <w:ilvl w:val="0"/>
          <w:numId w:val="2"/>
        </w:numPr>
        <w:spacing w:after="40" w:before="40"/>
      </w:pPr>
      <w:r>
        <w:rPr>
          <w:rFonts w:ascii="Arial" w:cs="Arial" w:eastAsia="Arial" w:hAnsi="Arial"/>
          <w:b w:val="false"/>
          <w:bCs w:val="false"/>
          <w:sz w:val="22"/>
          <w:szCs w:val="22"/>
        </w:rPr>
        <w:t xml:space="preserve">Desacoplamiento total entre el código que lanza la solicitud y el que la procesa.</w:t>
      </w:r>
    </w:p>
    <w:p>
      <w:pPr>
        <w:pStyle w:val="ListParagraph"/>
        <w:numPr>
          <w:ilvl w:val="0"/>
          <w:numId w:val="2"/>
        </w:numPr>
        <w:spacing w:after="40" w:before="40"/>
      </w:pPr>
      <w:r>
        <w:rPr>
          <w:rFonts w:ascii="Arial" w:cs="Arial" w:eastAsia="Arial" w:hAnsi="Arial"/>
          <w:b w:val="false"/>
          <w:bCs w:val="false"/>
          <w:sz w:val="22"/>
          <w:szCs w:val="22"/>
        </w:rPr>
        <w:t xml:space="preserve">Extensibilidad: agregar un nuevo tipo de solicitud sólo requiere crear una subclase, sin modificar el Invoker.</w:t>
      </w:r>
    </w:p>
    <w:p>
      <w:pPr>
        <w:pStyle w:val="ListParagraph"/>
        <w:numPr>
          <w:ilvl w:val="0"/>
          <w:numId w:val="2"/>
        </w:numPr>
        <w:spacing w:after="40" w:before="40"/>
      </w:pPr>
      <w:r>
        <w:rPr>
          <w:rFonts w:ascii="Arial" w:cs="Arial" w:eastAsia="Arial" w:hAnsi="Arial"/>
          <w:b w:val="false"/>
          <w:bCs w:val="false"/>
          <w:sz w:val="22"/>
          <w:szCs w:val="22"/>
        </w:rPr>
        <w:t xml:space="preserve">Facilita pruebas unitarias: cada comando es una unidad aislada y testeable.</w:t>
      </w:r>
    </w:p>
    <w:p>
      <w:pPr>
        <w:pStyle w:val="ListParagraph"/>
        <w:numPr>
          <w:ilvl w:val="0"/>
          <w:numId w:val="2"/>
        </w:numPr>
        <w:spacing w:after="40" w:before="40"/>
      </w:pPr>
      <w:r>
        <w:rPr>
          <w:rFonts w:ascii="Arial" w:cs="Arial" w:eastAsia="Arial" w:hAnsi="Arial"/>
          <w:b w:val="false"/>
          <w:bCs w:val="false"/>
          <w:sz w:val="22"/>
          <w:szCs w:val="22"/>
        </w:rPr>
        <w:t xml:space="preserve">Historial y reversibilidad: los comandos pueden almacenarse para implementar undo/redo o auditoría.</w:t>
      </w:r>
    </w:p>
    <w:p>
      <w:pPr>
        <w:pStyle w:val="ListParagraph"/>
        <w:numPr>
          <w:ilvl w:val="0"/>
          <w:numId w:val="2"/>
        </w:numPr>
        <w:spacing w:after="40" w:before="40"/>
      </w:pPr>
      <w:r>
        <w:rPr>
          <w:rFonts w:ascii="Arial" w:cs="Arial" w:eastAsia="Arial" w:hAnsi="Arial"/>
          <w:b w:val="false"/>
          <w:bCs w:val="false"/>
          <w:sz w:val="22"/>
          <w:szCs w:val="22"/>
        </w:rPr>
        <w:t xml:space="preserve">Parametrización: el Invoker puede recibir cualquier tipo de comando en tiempo de ejecución.</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3. Aplicación en Smart Parking Lot</w:t>
      </w:r>
    </w:p>
    <w:p>
      <w:pPr>
        <w:spacing w:after="100" w:before="80"/>
      </w:pPr>
      <w:r>
        <w:rPr>
          <w:rFonts w:ascii="Arial" w:cs="Arial" w:eastAsia="Arial" w:hAnsi="Arial"/>
          <w:sz w:val="22"/>
          <w:szCs w:val="22"/>
        </w:rPr>
        <w:t xml:space="preserve">En el sistema Smart Parking Lot el patrón Command se aplica para manejar las solicitudes de acceso vehicular a través de las compuertas del parqueadero. Cada vez que un vehículo es detectado por un sensor, se crea un objeto de solicitud (comando) que encapsula toda la información del evento y sabe ejecutarse a través del GateController.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Core / Application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Desacoplar la creación de la solicitud de acceso de su ejecución, permitiendo que GateController opere sobre cualquier tipo de Request sin conocer sus detalles internos.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3.1 Diagrama de clases</w:t>
      </w:r>
    </w:p>
    <w:p>
      <w:pPr>
        <w:spacing w:after="100" w:before="80"/>
      </w:pPr>
      <w:r>
        <w:rPr>
          <w:rFonts w:ascii="Arial" w:cs="Arial" w:eastAsia="Arial" w:hAnsi="Arial"/>
          <w:sz w:val="22"/>
          <w:szCs w:val="22"/>
        </w:rPr>
        <w:t xml:space="preserve">La jerarquía del patrón en el proyecto es la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r>
              <w:rPr>
                <w:rFonts w:ascii="Courier New" w:cs="Courier New" w:eastAsia="Courier New" w:hAnsi="Courier New"/>
                <w:color w:val="555555"/>
                <w:sz w:val="18"/>
                <w:szCs w:val="18"/>
              </w:rPr>
              <w:t xml:space="preserve">           &lt;&lt;abstract&gt;&gt;</w:t>
            </w:r>
          </w:p>
          <w:p>
            <w:r>
              <w:rPr>
                <w:rFonts w:ascii="Courier New" w:cs="Courier New" w:eastAsia="Courier New" w:hAnsi="Courier New"/>
                <w:b/>
                <w:bCs/>
                <w:color w:val="1F3864"/>
                <w:sz w:val="20"/>
                <w:szCs w:val="20"/>
              </w:rPr>
              <w:t xml:space="preserve">           Request</w:t>
            </w:r>
          </w:p>
          <w:p>
            <w:r>
              <w:rPr>
                <w:rFonts w:ascii="Courier New" w:cs="Courier New" w:eastAsia="Courier New" w:hAnsi="Courier New"/>
                <w:color w:val="888888"/>
                <w:sz w:val="18"/>
                <w:szCs w:val="18"/>
              </w:rPr>
              <w:t xml:space="preserve">           ─────────────────────────────────</w:t>
            </w:r>
          </w:p>
          <w:p>
            <w:r>
              <w:rPr>
                <w:rFonts w:ascii="Courier New" w:cs="Courier New" w:eastAsia="Courier New" w:hAnsi="Courier New"/>
                <w:color w:val="333333"/>
                <w:sz w:val="18"/>
                <w:szCs w:val="18"/>
              </w:rPr>
              <w:t xml:space="preserve">           + GateId : string</w:t>
            </w:r>
          </w:p>
          <w:p>
            <w:r>
              <w:rPr>
                <w:rFonts w:ascii="Courier New" w:cs="Courier New" w:eastAsia="Courier New" w:hAnsi="Courier New"/>
                <w:color w:val="333333"/>
                <w:sz w:val="18"/>
                <w:szCs w:val="18"/>
              </w:rPr>
              <w:t xml:space="preserve">           + VehiclePlate : string</w:t>
            </w:r>
          </w:p>
          <w:p>
            <w:r>
              <w:rPr>
                <w:rFonts w:ascii="Courier New" w:cs="Courier New" w:eastAsia="Courier New" w:hAnsi="Courier New"/>
                <w:color w:val="333333"/>
                <w:sz w:val="18"/>
                <w:szCs w:val="18"/>
              </w:rPr>
              <w:t xml:space="preserve">           + Timestamp : DateTime</w:t>
            </w:r>
          </w:p>
          <w:p>
            <w:r>
              <w:rPr>
                <w:rFonts w:ascii="Courier New" w:cs="Courier New" w:eastAsia="Courier New" w:hAnsi="Courier New"/>
                <w:color w:val="888888"/>
                <w:sz w:val="18"/>
                <w:szCs w:val="18"/>
              </w:rPr>
              <w:t xml:space="preserve">           ─────────────────────────────────</w:t>
            </w:r>
          </w:p>
          <w:p>
            <w:r>
              <w:rPr>
                <w:rFonts w:ascii="Courier New" w:cs="Courier New" w:eastAsia="Courier New" w:hAnsi="Courier New"/>
                <w:color w:val="333333"/>
                <w:sz w:val="18"/>
                <w:szCs w:val="18"/>
              </w:rPr>
              <w:t xml:space="preserve">           + ExecuteAsync(IGateRequestHandler) : Task  {abstract}</w:t>
            </w:r>
          </w:p>
          <w:p>
            <w:r>
              <w:rPr>
                <w:rFonts w:ascii="Courier New" w:cs="Courier New" w:eastAsia="Courier New" w:hAnsi="Courier New"/>
                <w:sz w:val="16"/>
                <w:szCs w:val="16"/>
              </w:rPr>
              <w:t xml:space="preserve"/>
            </w:r>
          </w:p>
          <w:p>
            <w:r>
              <w:rPr>
                <w:rFonts w:ascii="Courier New" w:cs="Courier New" w:eastAsia="Courier New" w:hAnsi="Courier New"/>
                <w:color w:val="555555"/>
                <w:sz w:val="18"/>
                <w:szCs w:val="18"/>
              </w:rPr>
              <w:t xml:space="preserve">                    ▲                      ▲</w:t>
            </w:r>
          </w:p>
          <w:p>
            <w:r>
              <w:rPr>
                <w:rFonts w:ascii="Courier New" w:cs="Courier New" w:eastAsia="Courier New" w:hAnsi="Courier New"/>
                <w:color w:val="555555"/>
                <w:sz w:val="18"/>
                <w:szCs w:val="18"/>
              </w:rPr>
              <w:t xml:space="preserve">                    |                      |</w:t>
            </w:r>
          </w:p>
          <w:p>
            <w:r>
              <w:rPr>
                <w:rFonts w:ascii="Courier New" w:cs="Courier New" w:eastAsia="Courier New" w:hAnsi="Courier New"/>
                <w:b/>
                <w:bCs/>
                <w:color w:val="2E75B6"/>
                <w:sz w:val="20"/>
                <w:szCs w:val="20"/>
              </w:rPr>
              <w:t xml:space="preserve">           EntryRequest          ExitRequest</w:t>
            </w:r>
          </w:p>
          <w:p>
            <w:r>
              <w:rPr>
                <w:rFonts w:ascii="Courier New" w:cs="Courier New" w:eastAsia="Courier New" w:hAnsi="Courier New"/>
                <w:color w:val="555555"/>
                <w:sz w:val="16"/>
                <w:szCs w:val="16"/>
              </w:rPr>
              <w:t xml:space="preserve">           (verifica capacidad,  (abre puerta</w:t>
            </w:r>
          </w:p>
          <w:p>
            <w:r>
              <w:rPr>
                <w:rFonts w:ascii="Courier New" w:cs="Courier New" w:eastAsia="Courier New" w:hAnsi="Courier New"/>
                <w:color w:val="555555"/>
                <w:sz w:val="16"/>
                <w:szCs w:val="16"/>
              </w:rPr>
              <w:t xml:space="preserve">            política, reserva)   directamente)</w:t>
            </w:r>
          </w:p>
          <w:p>
            <w:r>
              <w:rPr>
                <w:rFonts w:ascii="Courier New" w:cs="Courier New" w:eastAsia="Courier New" w:hAnsi="Courier New"/>
                <w:sz w:val="16"/>
                <w:szCs w:val="16"/>
              </w:rPr>
              <w:t xml:space="preserve"/>
            </w:r>
          </w:p>
          <w:p>
            <w:r>
              <w:rPr>
                <w:rFonts w:ascii="Courier New" w:cs="Courier New" w:eastAsia="Courier New" w:hAnsi="Courier New"/>
                <w:color w:val="333333"/>
                <w:sz w:val="18"/>
                <w:szCs w:val="18"/>
              </w:rPr>
              <w:t xml:space="preserve">           GateController  ──────────────&gt;  IGateRequestHandler</w:t>
            </w:r>
          </w:p>
          <w:p>
            <w:r>
              <w:rPr>
                <w:rFonts w:ascii="Courier New" w:cs="Courier New" w:eastAsia="Courier New" w:hAnsi="Courier New"/>
                <w:color w:val="666666"/>
                <w:sz w:val="16"/>
                <w:szCs w:val="16"/>
              </w:rPr>
              <w:t xml:space="preserve">           (Invoker)                        (Receiver interface)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Clases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 / Rol</w:t>
            </w:r>
          </w:p>
        </w:tc>
        <w:tc>
          <w:tcPr>
            <w:tcW w:type="dxa" w:w="4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Request</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Command (abstracto)</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Clase base abstracta. Define las propiedades comunes (GateId, VehiclePlate, Timestamp) y el contrato ExecuteAsync().</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EntryRequest</w:t>
            </w:r>
          </w:p>
        </w:tc>
        <w:tc>
          <w:tcPr>
            <w:tcW w:type="dxa" w:w="2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ConcreteCommand – Entrada</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Implementa la lógica de ingreso: verifica capacidad disponible, evalúa la política de acceso, reserva un espacio y abre la barrera si todo es válido.</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ExitRequest</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ConcreteCommand – Salida</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Implementa la lógica de salida: registra el evento y abre la barrera de salida directamente.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GateController</w:t>
            </w:r>
          </w:p>
        </w:tc>
        <w:tc>
          <w:tcPr>
            <w:tcW w:type="dxa" w:w="2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Invoker</w:t>
            </w:r>
          </w:p>
        </w:tc>
        <w:tc>
          <w:tcPr>
            <w:tcW w:type="dxa" w:w="42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Recibe cualquier Request y delega su ejecución llamando request.ExecuteAsync(this). No conoce el tipo concreto del comando.</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IGateRequestHandler</w:t>
            </w:r>
          </w:p>
        </w:tc>
        <w:tc>
          <w:tcPr>
            <w:tcW w:type="dxa" w:w="2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Receiver (interfaz)</w:t>
            </w:r>
          </w:p>
        </w:tc>
        <w:tc>
          <w:tcPr>
            <w:tcW w:type="dxa" w:w="4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Expone los servicios necesarios para que un Request se ejecute: CapacityService, AlertService, AccessPolicy, Logger y OpenGate().</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4. Fragmentos de Código Relevantes</w:t>
      </w:r>
    </w:p>
    <w:p>
      <w:pPr>
        <w:pStyle w:val="Heading2"/>
        <w:spacing w:after="120" w:before="240"/>
      </w:pPr>
      <w:r>
        <w:rPr>
          <w:rFonts w:ascii="Arial" w:cs="Arial" w:eastAsia="Arial" w:hAnsi="Arial"/>
          <w:b/>
          <w:bCs/>
          <w:color w:val="2E75B6"/>
          <w:sz w:val="26"/>
          <w:szCs w:val="26"/>
        </w:rPr>
        <w:t xml:space="preserve">4.1 Clase base abstracta – Request.cs</w:t>
      </w:r>
    </w:p>
    <w:p>
      <w:pPr>
        <w:shd w:fill="F5F5F5" w:val="clear"/>
        <w:spacing w:after="60" w:before="60"/>
        <w:ind w:left="360"/>
      </w:pPr>
      <w:r>
        <w:rPr>
          <w:rFonts w:ascii="Courier New" w:cs="Courier New" w:eastAsia="Courier New" w:hAnsi="Courier New"/>
          <w:color w:val="333333"/>
          <w:sz w:val="18"/>
          <w:szCs w:val="18"/>
        </w:rPr>
        <w:t xml:space="preserve">public abstract class Request</w:t>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public string GateId { get; init; } = "G-01";</w:t>
      </w:r>
    </w:p>
    <w:p>
      <w:pPr>
        <w:shd w:fill="F5F5F5" w:val="clear"/>
        <w:spacing w:after="60" w:before="60"/>
        <w:ind w:left="360"/>
      </w:pPr>
      <w:r>
        <w:rPr>
          <w:rFonts w:ascii="Courier New" w:cs="Courier New" w:eastAsia="Courier New" w:hAnsi="Courier New"/>
          <w:color w:val="333333"/>
          <w:sz w:val="18"/>
          <w:szCs w:val="18"/>
        </w:rPr>
        <w:t xml:space="preserve">    public string VehiclePlate { get; init; } = string.Empty;</w:t>
      </w:r>
    </w:p>
    <w:p>
      <w:pPr>
        <w:shd w:fill="F5F5F5" w:val="clear"/>
        <w:spacing w:after="60" w:before="60"/>
        <w:ind w:left="360"/>
      </w:pPr>
      <w:r>
        <w:rPr>
          <w:rFonts w:ascii="Courier New" w:cs="Courier New" w:eastAsia="Courier New" w:hAnsi="Courier New"/>
          <w:color w:val="333333"/>
          <w:sz w:val="18"/>
          <w:szCs w:val="18"/>
        </w:rPr>
        <w:t xml:space="preserve">    public DateTime Timestamp { get; init; } = DateTime.Now;</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    // Método abstracto: cada subclase decide cómo ejecutarse</w:t>
      </w:r>
    </w:p>
    <w:p>
      <w:pPr>
        <w:shd w:fill="F5F5F5" w:val="clear"/>
        <w:spacing w:after="60" w:before="60"/>
        <w:ind w:left="360"/>
      </w:pPr>
      <w:r>
        <w:rPr>
          <w:rFonts w:ascii="Courier New" w:cs="Courier New" w:eastAsia="Courier New" w:hAnsi="Courier New"/>
          <w:color w:val="333333"/>
          <w:sz w:val="18"/>
          <w:szCs w:val="18"/>
        </w:rPr>
        <w:t xml:space="preserve">    public abstract Task ExecuteAsync(IGateRequestHandler handler);</w:t>
      </w:r>
    </w:p>
    <w:p>
      <w:pPr>
        <w:shd w:fill="F5F5F5" w:val="clear"/>
        <w:spacing w:after="60" w:before="6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Comando concreto – EntryRequest.cs</w:t>
      </w:r>
    </w:p>
    <w:p>
      <w:pPr>
        <w:shd w:fill="F5F5F5" w:val="clear"/>
        <w:spacing w:after="60" w:before="60"/>
        <w:ind w:left="360"/>
      </w:pPr>
      <w:r>
        <w:rPr>
          <w:rFonts w:ascii="Courier New" w:cs="Courier New" w:eastAsia="Courier New" w:hAnsi="Courier New"/>
          <w:color w:val="333333"/>
          <w:sz w:val="18"/>
          <w:szCs w:val="18"/>
        </w:rPr>
        <w:t xml:space="preserve">public class EntryRequest : Request</w:t>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public bool Approved { get; private set; }</w:t>
      </w:r>
    </w:p>
    <w:p>
      <w:pPr>
        <w:shd w:fill="F5F5F5" w:val="clear"/>
        <w:spacing w:after="60" w:before="60"/>
        <w:ind w:left="360"/>
      </w:pPr>
      <w:r>
        <w:rPr>
          <w:rFonts w:ascii="Courier New" w:cs="Courier New" w:eastAsia="Courier New" w:hAnsi="Courier New"/>
          <w:color w:val="333333"/>
          <w:sz w:val="18"/>
          <w:szCs w:val="18"/>
        </w:rPr>
        <w:t xml:space="preserve">    public EntryRequest(string vehiclePlate) { VehiclePlate = vehiclePlate; }</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    public override async Task ExecuteAsync(IGateRequestHandler handler)</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 1. Verificar capacidad</w:t>
      </w:r>
    </w:p>
    <w:p>
      <w:pPr>
        <w:shd w:fill="F5F5F5" w:val="clear"/>
        <w:spacing w:after="60" w:before="60"/>
        <w:ind w:left="360"/>
      </w:pPr>
      <w:r>
        <w:rPr>
          <w:rFonts w:ascii="Courier New" w:cs="Courier New" w:eastAsia="Courier New" w:hAnsi="Courier New"/>
          <w:color w:val="333333"/>
          <w:sz w:val="18"/>
          <w:szCs w:val="18"/>
        </w:rPr>
        <w:t xml:space="preserve">        if (!handler.CapacityService.HasAvailableSpots())</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Approved = false;</w:t>
      </w:r>
    </w:p>
    <w:p>
      <w:pPr>
        <w:shd w:fill="F5F5F5" w:val="clear"/>
        <w:spacing w:after="60" w:before="60"/>
        <w:ind w:left="360"/>
      </w:pPr>
      <w:r>
        <w:rPr>
          <w:rFonts w:ascii="Courier New" w:cs="Courier New" w:eastAsia="Courier New" w:hAnsi="Courier New"/>
          <w:color w:val="333333"/>
          <w:sz w:val="18"/>
          <w:szCs w:val="18"/>
        </w:rPr>
        <w:t xml:space="preserve">            handler.AlertService.GenerateAlert(...);</w:t>
      </w:r>
    </w:p>
    <w:p>
      <w:pPr>
        <w:shd w:fill="F5F5F5" w:val="clear"/>
        <w:spacing w:after="60" w:before="60"/>
        <w:ind w:left="360"/>
      </w:pPr>
      <w:r>
        <w:rPr>
          <w:rFonts w:ascii="Courier New" w:cs="Courier New" w:eastAsia="Courier New" w:hAnsi="Courier New"/>
          <w:color w:val="333333"/>
          <w:sz w:val="18"/>
          <w:szCs w:val="18"/>
        </w:rPr>
        <w:t xml:space="preserve">            return;</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 2. Evaluar política de acceso</w:t>
      </w:r>
    </w:p>
    <w:p>
      <w:pPr>
        <w:shd w:fill="F5F5F5" w:val="clear"/>
        <w:spacing w:after="60" w:before="60"/>
        <w:ind w:left="360"/>
      </w:pPr>
      <w:r>
        <w:rPr>
          <w:rFonts w:ascii="Courier New" w:cs="Courier New" w:eastAsia="Courier New" w:hAnsi="Courier New"/>
          <w:color w:val="333333"/>
          <w:sz w:val="18"/>
          <w:szCs w:val="18"/>
        </w:rPr>
        <w:t xml:space="preserve">        if (!await handler.AccessPolicy.CanEnterAsync(this))</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Approved = false; return;</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 3. Reservar espacio y abrir barrera</w:t>
      </w:r>
    </w:p>
    <w:p>
      <w:pPr>
        <w:shd w:fill="F5F5F5" w:val="clear"/>
        <w:spacing w:after="60" w:before="60"/>
        <w:ind w:left="360"/>
      </w:pPr>
      <w:r>
        <w:rPr>
          <w:rFonts w:ascii="Courier New" w:cs="Courier New" w:eastAsia="Courier New" w:hAnsi="Courier New"/>
          <w:color w:val="333333"/>
          <w:sz w:val="18"/>
          <w:szCs w:val="18"/>
        </w:rPr>
        <w:t xml:space="preserve">        var spot = handler.CapacityService.ReserveSpot();</w:t>
      </w:r>
    </w:p>
    <w:p>
      <w:pPr>
        <w:shd w:fill="F5F5F5" w:val="clear"/>
        <w:spacing w:after="60" w:before="60"/>
        <w:ind w:left="360"/>
      </w:pPr>
      <w:r>
        <w:rPr>
          <w:rFonts w:ascii="Courier New" w:cs="Courier New" w:eastAsia="Courier New" w:hAnsi="Courier New"/>
          <w:color w:val="333333"/>
          <w:sz w:val="18"/>
          <w:szCs w:val="18"/>
        </w:rPr>
        <w:t xml:space="preserve">        Approved = true;</w:t>
      </w:r>
    </w:p>
    <w:p>
      <w:pPr>
        <w:shd w:fill="F5F5F5" w:val="clear"/>
        <w:spacing w:after="60" w:before="60"/>
        <w:ind w:left="360"/>
      </w:pPr>
      <w:r>
        <w:rPr>
          <w:rFonts w:ascii="Courier New" w:cs="Courier New" w:eastAsia="Courier New" w:hAnsi="Courier New"/>
          <w:color w:val="333333"/>
          <w:sz w:val="18"/>
          <w:szCs w:val="18"/>
        </w:rPr>
        <w:t xml:space="preserve">        handler.OpenGate(GateId);</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Invoker – GateController.cs</w:t>
      </w:r>
    </w:p>
    <w:p>
      <w:pPr>
        <w:shd w:fill="F5F5F5" w:val="clear"/>
        <w:spacing w:after="60" w:before="60"/>
        <w:ind w:left="360"/>
      </w:pPr>
      <w:r>
        <w:rPr>
          <w:rFonts w:ascii="Courier New" w:cs="Courier New" w:eastAsia="Courier New" w:hAnsi="Courier New"/>
          <w:color w:val="333333"/>
          <w:sz w:val="18"/>
          <w:szCs w:val="18"/>
        </w:rPr>
        <w:t xml:space="preserve">public class GateController : IGateRequestHandler</w:t>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 El Invoker sólo conoce la clase base Request</w:t>
      </w:r>
    </w:p>
    <w:p>
      <w:pPr>
        <w:shd w:fill="F5F5F5" w:val="clear"/>
        <w:spacing w:after="60" w:before="60"/>
        <w:ind w:left="360"/>
      </w:pPr>
      <w:r>
        <w:rPr>
          <w:rFonts w:ascii="Courier New" w:cs="Courier New" w:eastAsia="Courier New" w:hAnsi="Courier New"/>
          <w:color w:val="333333"/>
          <w:sz w:val="18"/>
          <w:szCs w:val="18"/>
        </w:rPr>
        <w:t xml:space="preserve">    public Task HandleRequestAsync(Request request)</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return request.ExecuteAsync(this);  // polimorfismo</w:t>
      </w:r>
    </w:p>
    <w:p>
      <w:pPr>
        <w:shd w:fill="F5F5F5" w:val="clear"/>
        <w:spacing w:after="60" w:before="60"/>
        <w:ind w:left="360"/>
      </w:pPr>
      <w:r>
        <w:rPr>
          <w:rFonts w:ascii="Courier New" w:cs="Courier New" w:eastAsia="Courier New" w:hAnsi="Courier New"/>
          <w:color w:val="333333"/>
          <w:sz w:val="18"/>
          <w:szCs w:val="18"/>
        </w:rPr>
        <w:t xml:space="preserve">    }</w:t>
      </w:r>
    </w:p>
    <w:p>
      <w:pPr>
        <w:shd w:fill="F5F5F5" w:val="clear"/>
        <w:spacing w:after="60" w:before="60"/>
        <w:ind w:left="360"/>
      </w:pPr>
      <w:r>
        <w:rPr>
          <w:rFonts w:ascii="Courier New" w:cs="Courier New" w:eastAsia="Courier New" w:hAnsi="Courier New"/>
          <w:color w:val="333333"/>
          <w:sz w:val="18"/>
          <w:szCs w:val="18"/>
        </w:rPr>
        <w:t xml:space="preserve">    // ... servicios expuestos al Receiver interface</w:t>
      </w:r>
    </w:p>
    <w:p>
      <w:pPr>
        <w:shd w:fill="F5F5F5" w:val="clear"/>
        <w:spacing w:after="60" w:before="6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5. Flujo de Ejecución</w:t>
      </w:r>
    </w:p>
    <w:p>
      <w:pPr>
        <w:spacing w:after="100" w:before="80"/>
      </w:pPr>
      <w:r>
        <w:rPr>
          <w:rFonts w:ascii="Arial" w:cs="Arial" w:eastAsia="Arial" w:hAnsi="Arial"/>
          <w:sz w:val="22"/>
          <w:szCs w:val="22"/>
        </w:rPr>
        <w:t xml:space="preserve">El flujo completo cuando un vehículo llega a la barrera de entrada es el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BBBBBB" w:sz="1"/>
              <w:left w:val="single" w:color="BBBBBB" w:sz="1"/>
              <w:bottom w:val="single" w:color="BBBBBB" w:sz="1"/>
              <w:right w:val="single" w:color="BBBBBB"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14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GateSensorHandler</w:t>
            </w:r>
          </w:p>
        </w:tc>
        <w:tc>
          <w:tcPr>
            <w:tcW w:type="dxa" w:w="7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Detecta la lectura del sensor de la barrera de entrada (SensorReadingReceived).</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2</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GateSensorHandler</w:t>
            </w:r>
          </w:p>
        </w:tc>
        <w:tc>
          <w:tcPr>
            <w:tcW w:type="dxa" w:w="7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Crea un objeto EntryRequest(vehiclePlate) con la placa reconocida por el lector.</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GateController</w:t>
            </w:r>
          </w:p>
        </w:tc>
        <w:tc>
          <w:tcPr>
            <w:tcW w:type="dxa" w:w="7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Recibe el EntryRequest vía HandleRequestAsync(request). No necesita saber su tipo.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4</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EntryRequest</w:t>
            </w:r>
          </w:p>
        </w:tc>
        <w:tc>
          <w:tcPr>
            <w:tcW w:type="dxa" w:w="7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Ejecuta su lógica interna: verifica capacidad → evalúa política → reserva espacio.</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GateController</w:t>
            </w:r>
          </w:p>
        </w:tc>
        <w:tc>
          <w:tcPr>
            <w:tcW w:type="dxa" w:w="7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EntryRequest llama handler.OpenGate(GateId) si el acceso fue aprobado.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6</w:t>
            </w:r>
          </w:p>
        </w:tc>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Gate</w:t>
            </w:r>
          </w:p>
        </w:tc>
        <w:tc>
          <w:tcPr>
            <w:tcW w:type="dxa" w:w="7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La barrera física se abre y el vehículo ingresa al parqueadero.</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6. Beneficios Obtenidos en el Proyecto</w:t>
      </w:r>
    </w:p>
    <w:p>
      <w:pPr>
        <w:pStyle w:val="ListParagraph"/>
        <w:numPr>
          <w:ilvl w:val="0"/>
          <w:numId w:val="2"/>
        </w:numPr>
        <w:spacing w:after="40" w:before="40"/>
      </w:pPr>
      <w:r>
        <w:rPr>
          <w:rFonts w:ascii="Arial" w:cs="Arial" w:eastAsia="Arial" w:hAnsi="Arial"/>
          <w:b w:val="false"/>
          <w:bCs w:val="false"/>
          <w:sz w:val="22"/>
          <w:szCs w:val="22"/>
        </w:rPr>
        <w:t xml:space="preserve">Desacoplamiento: GateController no conoce si está procesando una entrada o una salida. Sólo invoca ExecuteAsync().</w:t>
      </w:r>
    </w:p>
    <w:p>
      <w:pPr>
        <w:pStyle w:val="ListParagraph"/>
        <w:numPr>
          <w:ilvl w:val="0"/>
          <w:numId w:val="2"/>
        </w:numPr>
        <w:spacing w:after="40" w:before="40"/>
      </w:pPr>
      <w:r>
        <w:rPr>
          <w:rFonts w:ascii="Arial" w:cs="Arial" w:eastAsia="Arial" w:hAnsi="Arial"/>
          <w:b w:val="false"/>
          <w:bCs w:val="false"/>
          <w:sz w:val="22"/>
          <w:szCs w:val="22"/>
        </w:rPr>
        <w:t xml:space="preserve">Principio Abierto/Cerrado: si se requiere un nuevo tipo de acceso (p.ej. Acceso VIP o Acceso de Emergencia), sólo se crea una nueva subclase de Request sin modificar GateController.</w:t>
      </w:r>
    </w:p>
    <w:p>
      <w:pPr>
        <w:pStyle w:val="ListParagraph"/>
        <w:numPr>
          <w:ilvl w:val="0"/>
          <w:numId w:val="2"/>
        </w:numPr>
        <w:spacing w:after="40" w:before="40"/>
      </w:pPr>
      <w:r>
        <w:rPr>
          <w:rFonts w:ascii="Arial" w:cs="Arial" w:eastAsia="Arial" w:hAnsi="Arial"/>
          <w:b w:val="false"/>
          <w:bCs w:val="false"/>
          <w:sz w:val="22"/>
          <w:szCs w:val="22"/>
        </w:rPr>
        <w:t xml:space="preserve">Testabilidad: EntryRequest y ExitRequest pueden probarse de forma aislada inyectando un IGateRequestHandler mock.</w:t>
      </w:r>
    </w:p>
    <w:p>
      <w:pPr>
        <w:pStyle w:val="ListParagraph"/>
        <w:numPr>
          <w:ilvl w:val="0"/>
          <w:numId w:val="2"/>
        </w:numPr>
        <w:spacing w:after="40" w:before="40"/>
      </w:pPr>
      <w:r>
        <w:rPr>
          <w:rFonts w:ascii="Arial" w:cs="Arial" w:eastAsia="Arial" w:hAnsi="Arial"/>
          <w:b w:val="false"/>
          <w:bCs w:val="false"/>
          <w:sz w:val="22"/>
          <w:szCs w:val="22"/>
        </w:rPr>
        <w:t xml:space="preserve">Auditoría: cada Request contiene su propio Timestamp y VehiclePlate, facilitando el registro de historial de accesos.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Conclusión</w:t>
      </w:r>
    </w:p>
    <w:p>
      <w:pPr>
        <w:spacing w:after="100" w:before="80"/>
      </w:pPr>
      <w:r>
        <w:rPr>
          <w:rFonts w:ascii="Arial" w:cs="Arial" w:eastAsia="Arial" w:hAnsi="Arial"/>
          <w:sz w:val="22"/>
          <w:szCs w:val="22"/>
        </w:rPr>
        <w:t xml:space="preserve">La aplicación del patrón Command en el módulo de control de compuertas del Smart Parking Lot demuestra cómo un diseño orientado a objetos bien estructurado puede simplificar drásticamente la lógica del controlador. GateController opera como un invocador genérico que delega la responsabilidad de ejecución en el propio objeto de solicitud, logrando un código extensible, limpio y fácil de mantener. Esta separación de responsabilidades es la base sobre la que se pueden construir futuras mejoras como el registro centralizado de comandos, la reversión de operaciones o la cola de solicitudes asíncronas.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360"/>
      </w:tabs>
    </w:pPr>
    <w:r>
      <w:rPr>
        <w:rFonts w:ascii="Arial" w:cs="Arial" w:eastAsia="Arial" w:hAnsi="Arial"/>
        <w:color w:val="888888"/>
        <w:sz w:val="16"/>
        <w:szCs w:val="16"/>
      </w:rPr>
      <w:t xml:space="preserve">Universidad de los Llanos  –  Ingeniería de Sistemas</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pPr>
    <w:r>
      <w:rPr>
        <w:rFonts w:ascii="Arial" w:cs="Arial" w:eastAsia="Arial" w:hAnsi="Arial"/>
        <w:color w:val="666666"/>
        <w:sz w:val="18"/>
        <w:szCs w:val="18"/>
      </w:rPr>
      <w:t xml:space="preserve">T1.1 – Patrón Command  |  Smart Parking Lot</w:t>
    </w:r>
    <w:r>
      <w:rPr>
        <w:rFonts w:ascii="Arial" w:cs="Arial" w:eastAsia="Arial" w:hAnsi="Arial"/>
        <w:color w:val="666666"/>
        <w:sz w:val="18"/>
        <w:szCs w:val="18"/>
      </w:rPr>
      <w:t xml:space="preserve">	Lab – Design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2026-05-11T21:28:46.213Z</dcterms:created>
  <dcterms:modified xsi:type="dcterms:W3CDTF">2026-05-11T21:28:46.214Z</dcterms:modified>
</cp:coreProperties>
</file>

<file path=docProps/custom.xml><?xml version="1.0" encoding="utf-8"?>
<Properties xmlns="http://schemas.openxmlformats.org/officeDocument/2006/custom-properties" xmlns:vt="http://schemas.openxmlformats.org/officeDocument/2006/docPropsVTypes"/>
</file>