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60"/>
      </w:pPr>
      <w:r>
        <w:t xml:space="preserve"/>
      </w:r>
    </w:p>
    <w:p>
      <w:pPr>
        <w:spacing w:after="60" w:before="60"/>
      </w:pPr>
      <w:r>
        <w:t xml:space="preserve"/>
      </w:r>
    </w:p>
    <w:p>
      <w:pPr>
        <w:spacing w:after="60" w:before="60"/>
      </w:pPr>
      <w:r>
        <w:t xml:space="preserve"/>
      </w:r>
    </w:p>
    <w:p>
      <w:pPr>
        <w:spacing w:after="200" w:before="400"/>
        <w:jc w:val="center"/>
      </w:pPr>
      <w:r>
        <w:rPr>
          <w:rFonts w:ascii="Arial" w:cs="Arial" w:eastAsia="Arial" w:hAnsi="Arial"/>
          <w:color w:val="666666"/>
          <w:sz w:val="28"/>
          <w:szCs w:val="28"/>
        </w:rPr>
        <w:t xml:space="preserve">T1.2 – Documentación del Patrón</w:t>
      </w:r>
    </w:p>
    <w:p>
      <w:pPr>
        <w:spacing w:after="300" w:before="0"/>
        <w:jc w:val="center"/>
      </w:pPr>
      <w:r>
        <w:rPr>
          <w:rFonts w:ascii="Arial" w:cs="Arial" w:eastAsia="Arial" w:hAnsi="Arial"/>
          <w:b/>
          <w:bCs/>
          <w:color w:val="1F3864"/>
          <w:sz w:val="56"/>
          <w:szCs w:val="56"/>
        </w:rPr>
        <w:t xml:space="preserve">OBSERVER</w:t>
      </w:r>
    </w:p>
    <w:p>
      <w:pPr>
        <w:spacing w:after="120" w:before="0"/>
        <w:jc w:val="center"/>
      </w:pPr>
      <w:r>
        <w:rPr>
          <w:rFonts w:ascii="Arial" w:cs="Arial" w:eastAsia="Arial" w:hAnsi="Arial"/>
          <w:color w:val="404040"/>
          <w:sz w:val="24"/>
          <w:szCs w:val="24"/>
        </w:rPr>
        <w:t xml:space="preserve">Proyecto: Smart Parking Lot</w:t>
      </w:r>
    </w:p>
    <w:p>
      <w:pPr>
        <w:spacing w:after="120" w:before="0"/>
        <w:jc w:val="center"/>
      </w:pPr>
      <w:r>
        <w:rPr>
          <w:rFonts w:ascii="Arial" w:cs="Arial" w:eastAsia="Arial" w:hAnsi="Arial"/>
          <w:color w:val="777777"/>
          <w:sz w:val="22"/>
          <w:szCs w:val="22"/>
        </w:rPr>
        <w:t xml:space="preserve">Lab – Design Patterns  |  Documentación &amp; Evidencia</w:t>
      </w:r>
    </w:p>
    <w:p>
      <w:pPr>
        <w:spacing w:after="80" w:before="0"/>
        <w:jc w:val="center"/>
      </w:pPr>
      <w:r>
        <w:rPr>
          <w:rFonts w:ascii="Arial" w:cs="Arial" w:eastAsia="Arial" w:hAnsi="Arial"/>
          <w:color w:val="777777"/>
          <w:sz w:val="22"/>
          <w:szCs w:val="22"/>
        </w:rPr>
        <w:t xml:space="preserve">Santiago Barrera Meza  –  Johan Sebastián Forero Agudelo</w:t>
      </w:r>
    </w:p>
    <w:p>
      <w:pPr>
        <w:spacing w:after="80" w:before="0"/>
        <w:jc w:val="center"/>
      </w:pPr>
      <w:r>
        <w:rPr>
          <w:rFonts w:ascii="Arial" w:cs="Arial" w:eastAsia="Arial" w:hAnsi="Arial"/>
          <w:color w:val="888888"/>
          <w:sz w:val="22"/>
          <w:szCs w:val="22"/>
        </w:rPr>
        <w:t xml:space="preserve">Universidad de los Llanos  |  Mayo 2026</w:t>
      </w:r>
    </w:p>
    <w:p>
      <w:pPr>
        <w:spacing w:after="60" w:before="60"/>
      </w:pPr>
      <w:r>
        <w:t xml:space="preserve"/>
      </w:r>
    </w:p>
    <w:p>
      <w:pPr>
        <w:spacing w:after="60" w:before="60"/>
      </w:pPr>
      <w:r>
        <w:t xml:space="preserve"/>
      </w:r>
    </w:p>
    <w:p>
      <w:r>
        <w:br w:type="page"/>
      </w:r>
    </w:p>
    <w:p>
      <w:pPr>
        <w:pStyle w:val="Heading1"/>
        <w:spacing w:after="160" w:before="320"/>
      </w:pPr>
      <w:r>
        <w:rPr>
          <w:rFonts w:ascii="Arial" w:cs="Arial" w:eastAsia="Arial" w:hAnsi="Arial"/>
          <w:b/>
          <w:bCs/>
          <w:color w:val="1F3864"/>
          <w:sz w:val="32"/>
          <w:szCs w:val="32"/>
        </w:rPr>
        <w:t xml:space="preserve">1. ¿Qué es el Patrón Observer?</w:t>
      </w:r>
    </w:p>
    <w:p>
      <w:pPr>
        <w:spacing w:after="100" w:before="80"/>
      </w:pPr>
      <w:r>
        <w:rPr>
          <w:rFonts w:ascii="Arial" w:cs="Arial" w:eastAsia="Arial" w:hAnsi="Arial"/>
          <w:sz w:val="22"/>
          <w:szCs w:val="22"/>
        </w:rPr>
        <w:t xml:space="preserve">El patrón Observer es un patrón de diseño de comportamiento que define una dependencia de uno-a-muchos entre objetos, de manera que cuando un objeto (el Sujeto o Publisher) cambia su estado, todos sus dependientes (los Observadores o Suscriptores) son notificados y actualizados automáticamente.</w:t>
      </w:r>
    </w:p>
    <w:p>
      <w:pPr>
        <w:spacing w:after="60" w:before="60"/>
      </w:pPr>
      <w:r>
        <w:t xml:space="preserve"/>
      </w:r>
    </w:p>
    <w:p>
      <w:pPr>
        <w:spacing w:after="100" w:before="80"/>
      </w:pPr>
      <w:r>
        <w:rPr>
          <w:rFonts w:ascii="Arial" w:cs="Arial" w:eastAsia="Arial" w:hAnsi="Arial"/>
          <w:sz w:val="22"/>
          <w:szCs w:val="22"/>
        </w:rPr>
        <w:t xml:space="preserve">También conocido como Publish-Subscribe o Event-Driven, este patrón es fundamental para sistemas reactivos donde múltiples componentes deben responder a eventos sin conocerse entre sí. Permite que el código que produce un evento esté completamente desacoplado del código que lo consume.</w:t>
      </w:r>
    </w:p>
    <w:p>
      <w:pPr>
        <w:spacing w:after="60" w:before="60"/>
      </w:pPr>
      <w:r>
        <w:t xml:space="preserve"/>
      </w:r>
    </w:p>
    <w:p>
      <w:pPr>
        <w:pStyle w:val="Heading2"/>
        <w:spacing w:after="120" w:before="240"/>
      </w:pPr>
      <w:r>
        <w:rPr>
          <w:rFonts w:ascii="Arial" w:cs="Arial" w:eastAsia="Arial" w:hAnsi="Arial"/>
          <w:b/>
          <w:bCs/>
          <w:color w:val="2E75B6"/>
          <w:sz w:val="26"/>
          <w:szCs w:val="26"/>
        </w:rPr>
        <w:t xml:space="preserve">1.1 Participantes del patrón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2100"/>
        <w:gridCol w:w="4660"/>
      </w:tblGrid>
      <w:tr>
        <w:tc>
          <w:tcPr>
            <w:tcW w:type="dxa" w:w="2600"/>
            <w:tcBorders>
              <w:top w:val="single" w:color="BBBBBB" w:sz="1"/>
              <w:left w:val="single" w:color="BBBBBB" w:sz="1"/>
              <w:bottom w:val="single" w:color="BBBBBB" w:sz="1"/>
              <w:right w:val="single" w:color="BBBBBB"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Elemento</w:t>
            </w:r>
          </w:p>
        </w:tc>
        <w:tc>
          <w:tcPr>
            <w:tcW w:type="dxa" w:w="2100"/>
            <w:tcBorders>
              <w:top w:val="single" w:color="BBBBBB" w:sz="1"/>
              <w:left w:val="single" w:color="BBBBBB" w:sz="1"/>
              <w:bottom w:val="single" w:color="BBBBBB" w:sz="1"/>
              <w:right w:val="single" w:color="BBBBBB"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Rol en Observer</w:t>
            </w:r>
          </w:p>
        </w:tc>
        <w:tc>
          <w:tcPr>
            <w:tcW w:type="dxa" w:w="4660"/>
            <w:tcBorders>
              <w:top w:val="single" w:color="BBBBBB" w:sz="1"/>
              <w:left w:val="single" w:color="BBBBBB" w:sz="1"/>
              <w:bottom w:val="single" w:color="BBBBBB" w:sz="1"/>
              <w:right w:val="single" w:color="BBBBBB"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Responsabilidad</w:t>
            </w:r>
          </w:p>
        </w:tc>
      </w:tr>
      <w:tr>
        <w:tc>
          <w:tcPr>
            <w:tcW w:type="dxa" w:w="26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Courier New" w:cs="Courier New" w:eastAsia="Courier New" w:hAnsi="Courier New"/>
                <w:b w:val="false"/>
                <w:bCs w:val="false"/>
                <w:color w:val="1F3864"/>
                <w:sz w:val="20"/>
                <w:szCs w:val="20"/>
              </w:rPr>
              <w:t xml:space="preserve">Publisher / Subject</w:t>
            </w:r>
          </w:p>
        </w:tc>
        <w:tc>
          <w:tcPr>
            <w:tcW w:type="dxa" w:w="21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bCs/>
                <w:color w:val="222222"/>
                <w:sz w:val="20"/>
                <w:szCs w:val="20"/>
              </w:rPr>
              <w:t xml:space="preserve">Publicador</w:t>
            </w:r>
          </w:p>
        </w:tc>
        <w:tc>
          <w:tcPr>
            <w:tcW w:type="dxa" w:w="46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Mantiene la lista de suscriptores y notifica cuando ocurre un evento.</w:t>
            </w:r>
          </w:p>
        </w:tc>
      </w:tr>
      <w:tr>
        <w:tc>
          <w:tcPr>
            <w:tcW w:type="dxa" w:w="26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Courier New" w:cs="Courier New" w:eastAsia="Courier New" w:hAnsi="Courier New"/>
                <w:b w:val="false"/>
                <w:bCs w:val="false"/>
                <w:color w:val="1F3864"/>
                <w:sz w:val="20"/>
                <w:szCs w:val="20"/>
              </w:rPr>
              <w:t xml:space="preserve">Subscriber / Observer</w:t>
            </w:r>
          </w:p>
        </w:tc>
        <w:tc>
          <w:tcPr>
            <w:tcW w:type="dxa" w:w="21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b/>
                <w:bCs/>
                <w:color w:val="222222"/>
                <w:sz w:val="20"/>
                <w:szCs w:val="20"/>
              </w:rPr>
              <w:t xml:space="preserve">Suscriptor</w:t>
            </w:r>
          </w:p>
        </w:tc>
        <w:tc>
          <w:tcPr>
            <w:tcW w:type="dxa" w:w="466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b w:val="false"/>
                <w:bCs w:val="false"/>
                <w:color w:val="222222"/>
                <w:sz w:val="20"/>
                <w:szCs w:val="20"/>
              </w:rPr>
              <w:t xml:space="preserve">Define la interfaz de actualización que se invoca cuando el Publisher notifica.</w:t>
            </w:r>
          </w:p>
        </w:tc>
      </w:tr>
      <w:tr>
        <w:tc>
          <w:tcPr>
            <w:tcW w:type="dxa" w:w="26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Courier New" w:cs="Courier New" w:eastAsia="Courier New" w:hAnsi="Courier New"/>
                <w:b w:val="false"/>
                <w:bCs w:val="false"/>
                <w:color w:val="1F3864"/>
                <w:sz w:val="20"/>
                <w:szCs w:val="20"/>
              </w:rPr>
              <w:t xml:space="preserve">ConcretePublisher</w:t>
            </w:r>
          </w:p>
        </w:tc>
        <w:tc>
          <w:tcPr>
            <w:tcW w:type="dxa" w:w="21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bCs/>
                <w:color w:val="222222"/>
                <w:sz w:val="20"/>
                <w:szCs w:val="20"/>
              </w:rPr>
              <w:t xml:space="preserve">Implementación concreta</w:t>
            </w:r>
          </w:p>
        </w:tc>
        <w:tc>
          <w:tcPr>
            <w:tcW w:type="dxa" w:w="46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Implementa la lógica de almacenamiento de suscriptores y publicación de eventos.</w:t>
            </w:r>
          </w:p>
        </w:tc>
      </w:tr>
      <w:tr>
        <w:tc>
          <w:tcPr>
            <w:tcW w:type="dxa" w:w="26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Courier New" w:cs="Courier New" w:eastAsia="Courier New" w:hAnsi="Courier New"/>
                <w:b w:val="false"/>
                <w:bCs w:val="false"/>
                <w:color w:val="1F3864"/>
                <w:sz w:val="20"/>
                <w:szCs w:val="20"/>
              </w:rPr>
              <w:t xml:space="preserve">ConcreteSubscriber</w:t>
            </w:r>
          </w:p>
        </w:tc>
        <w:tc>
          <w:tcPr>
            <w:tcW w:type="dxa" w:w="21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b/>
                <w:bCs/>
                <w:color w:val="222222"/>
                <w:sz w:val="20"/>
                <w:szCs w:val="20"/>
              </w:rPr>
              <w:t xml:space="preserve">Handler concreto</w:t>
            </w:r>
          </w:p>
        </w:tc>
        <w:tc>
          <w:tcPr>
            <w:tcW w:type="dxa" w:w="466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b w:val="false"/>
                <w:bCs w:val="false"/>
                <w:color w:val="222222"/>
                <w:sz w:val="20"/>
                <w:szCs w:val="20"/>
              </w:rPr>
              <w:t xml:space="preserve">Reacciona al evento con lógica de negocio específica.</w:t>
            </w:r>
          </w:p>
        </w:tc>
      </w:tr>
      <w:tr>
        <w:tc>
          <w:tcPr>
            <w:tcW w:type="dxa" w:w="26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Courier New" w:cs="Courier New" w:eastAsia="Courier New" w:hAnsi="Courier New"/>
                <w:b w:val="false"/>
                <w:bCs w:val="false"/>
                <w:color w:val="1F3864"/>
                <w:sz w:val="20"/>
                <w:szCs w:val="20"/>
              </w:rPr>
              <w:t xml:space="preserve">Event / Message</w:t>
            </w:r>
          </w:p>
        </w:tc>
        <w:tc>
          <w:tcPr>
            <w:tcW w:type="dxa" w:w="21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bCs/>
                <w:color w:val="222222"/>
                <w:sz w:val="20"/>
                <w:szCs w:val="20"/>
              </w:rPr>
              <w:t xml:space="preserve">Datos del evento</w:t>
            </w:r>
          </w:p>
        </w:tc>
        <w:tc>
          <w:tcPr>
            <w:tcW w:type="dxa" w:w="46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Objeto inmutable que transporta la información del evento publicado.</w:t>
            </w:r>
          </w:p>
        </w:tc>
      </w:tr>
    </w:tbl>
    <w:p>
      <w:pPr>
        <w:spacing w:after="60" w:before="60"/>
      </w:pPr>
      <w:r>
        <w:t xml:space="preserve"/>
      </w:r>
    </w:p>
    <w:p>
      <w:pPr>
        <w:pStyle w:val="Heading1"/>
        <w:spacing w:after="160" w:before="320"/>
      </w:pPr>
      <w:r>
        <w:rPr>
          <w:rFonts w:ascii="Arial" w:cs="Arial" w:eastAsia="Arial" w:hAnsi="Arial"/>
          <w:b/>
          <w:bCs/>
          <w:color w:val="1F3864"/>
          <w:sz w:val="32"/>
          <w:szCs w:val="32"/>
        </w:rPr>
        <w:t xml:space="preserve">2. ¿Por Qué Usar el Patrón Observer?</w:t>
      </w:r>
    </w:p>
    <w:p>
      <w:pPr>
        <w:spacing w:after="100" w:before="80"/>
      </w:pPr>
      <w:r>
        <w:rPr>
          <w:rFonts w:ascii="Arial" w:cs="Arial" w:eastAsia="Arial" w:hAnsi="Arial"/>
          <w:sz w:val="22"/>
          <w:szCs w:val="22"/>
        </w:rPr>
        <w:t xml:space="preserve">El patrón Observer aporta beneficios arquitectónicos clave para sistemas orientados a eventos:</w:t>
      </w:r>
    </w:p>
    <w:p>
      <w:pPr>
        <w:pStyle w:val="ListParagraph"/>
        <w:numPr>
          <w:ilvl w:val="0"/>
          <w:numId w:val="2"/>
        </w:numPr>
        <w:spacing w:after="40" w:before="40"/>
      </w:pPr>
      <w:r>
        <w:rPr>
          <w:rFonts w:ascii="Arial" w:cs="Arial" w:eastAsia="Arial" w:hAnsi="Arial"/>
          <w:sz w:val="22"/>
          <w:szCs w:val="22"/>
        </w:rPr>
        <w:t xml:space="preserve">Desacoplamiento total: el productor del evento no conoce a sus consumidores; sólo publica.</w:t>
      </w:r>
    </w:p>
    <w:p>
      <w:pPr>
        <w:pStyle w:val="ListParagraph"/>
        <w:numPr>
          <w:ilvl w:val="0"/>
          <w:numId w:val="2"/>
        </w:numPr>
        <w:spacing w:after="40" w:before="40"/>
      </w:pPr>
      <w:r>
        <w:rPr>
          <w:rFonts w:ascii="Arial" w:cs="Arial" w:eastAsia="Arial" w:hAnsi="Arial"/>
          <w:sz w:val="22"/>
          <w:szCs w:val="22"/>
        </w:rPr>
        <w:t xml:space="preserve">Extensibilidad: agregar un nuevo consumidor no requiere modificar el código que produce el evento.</w:t>
      </w:r>
    </w:p>
    <w:p>
      <w:pPr>
        <w:pStyle w:val="ListParagraph"/>
        <w:numPr>
          <w:ilvl w:val="0"/>
          <w:numId w:val="2"/>
        </w:numPr>
        <w:spacing w:after="40" w:before="40"/>
      </w:pPr>
      <w:r>
        <w:rPr>
          <w:rFonts w:ascii="Arial" w:cs="Arial" w:eastAsia="Arial" w:hAnsi="Arial"/>
          <w:sz w:val="22"/>
          <w:szCs w:val="22"/>
        </w:rPr>
        <w:t xml:space="preserve">Múltiples reacciones: un solo evento puede disparar N comportamientos independientes en paralelo.</w:t>
      </w:r>
    </w:p>
    <w:p>
      <w:pPr>
        <w:pStyle w:val="ListParagraph"/>
        <w:numPr>
          <w:ilvl w:val="0"/>
          <w:numId w:val="2"/>
        </w:numPr>
        <w:spacing w:after="40" w:before="40"/>
      </w:pPr>
      <w:r>
        <w:rPr>
          <w:rFonts w:ascii="Arial" w:cs="Arial" w:eastAsia="Arial" w:hAnsi="Arial"/>
          <w:sz w:val="22"/>
          <w:szCs w:val="22"/>
        </w:rPr>
        <w:t xml:space="preserve">Inversión de dependencia: los módulos de alto nivel publican; los de bajo nivel se suscriben.</w:t>
      </w:r>
    </w:p>
    <w:p>
      <w:pPr>
        <w:pStyle w:val="ListParagraph"/>
        <w:numPr>
          <w:ilvl w:val="0"/>
          <w:numId w:val="2"/>
        </w:numPr>
        <w:spacing w:after="40" w:before="40"/>
      </w:pPr>
      <w:r>
        <w:rPr>
          <w:rFonts w:ascii="Arial" w:cs="Arial" w:eastAsia="Arial" w:hAnsi="Arial"/>
          <w:sz w:val="22"/>
          <w:szCs w:val="22"/>
        </w:rPr>
        <w:t xml:space="preserve">Facilita arquitecturas reactivas: toda la aplicación puede organizarse alrededor de flujos de eventos.</w:t>
      </w:r>
    </w:p>
    <w:p>
      <w:pPr>
        <w:spacing w:after="60" w:before="60"/>
      </w:pPr>
      <w:r>
        <w:t xml:space="preserve"/>
      </w:r>
    </w:p>
    <w:p>
      <w:pPr>
        <w:pStyle w:val="Heading1"/>
        <w:spacing w:after="160" w:before="320"/>
      </w:pPr>
      <w:r>
        <w:rPr>
          <w:rFonts w:ascii="Arial" w:cs="Arial" w:eastAsia="Arial" w:hAnsi="Arial"/>
          <w:b/>
          <w:bCs/>
          <w:color w:val="1F3864"/>
          <w:sz w:val="32"/>
          <w:szCs w:val="32"/>
        </w:rPr>
        <w:t xml:space="preserve">3. Aplicación en Smart Parking Lot</w:t>
      </w:r>
    </w:p>
    <w:p>
      <w:pPr>
        <w:spacing w:after="100" w:before="80"/>
      </w:pPr>
      <w:r>
        <w:rPr>
          <w:rFonts w:ascii="Arial" w:cs="Arial" w:eastAsia="Arial" w:hAnsi="Arial"/>
          <w:sz w:val="22"/>
          <w:szCs w:val="22"/>
        </w:rPr>
        <w:t xml:space="preserve">En el proyecto Smart Parking Lot el patrón Observer es el mecanismo central de comunicación entre la capa de hardware y la capa de aplicación. Cuando un sensor del Arduino transmite una lectura, ésta se convierte en un evento que es publicado en el bus de eventos interno. Múltiples componentes reaccionan de forma independiente a dicho evento sin ningún acoplamiento directo.</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BBBBBB" w:sz="1"/>
              <w:left w:val="single" w:color="BBBBBB" w:sz="1"/>
              <w:bottom w:val="single" w:color="BBBBBB" w:sz="1"/>
              <w:right w:val="single" w:color="BBBBBB"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Módulo</w:t>
            </w:r>
          </w:p>
        </w:tc>
        <w:tc>
          <w:tcPr>
            <w:tcW w:type="dxa" w:w="7560"/>
            <w:tcBorders>
              <w:top w:val="single" w:color="BBBBBB" w:sz="1"/>
              <w:left w:val="single" w:color="BBBBBB" w:sz="1"/>
              <w:bottom w:val="single" w:color="BBBBBB" w:sz="1"/>
              <w:right w:val="single" w:color="BBBBBB" w:sz="1"/>
            </w:tcBorders>
            <w:shd w:fill="D6E4F0" w:val="clear"/>
            <w:tcMar>
              <w:top w:type="dxa" w:w="80"/>
              <w:left w:type="dxa" w:w="120"/>
              <w:bottom w:type="dxa" w:w="80"/>
              <w:right w:type="dxa" w:w="120"/>
            </w:tcMar>
          </w:tcPr>
          <w:p>
            <w:r>
              <w:rPr>
                <w:rFonts w:ascii="Arial" w:cs="Arial" w:eastAsia="Arial" w:hAnsi="Arial"/>
                <w:sz w:val="20"/>
                <w:szCs w:val="20"/>
              </w:rPr>
              <w:t xml:space="preserve">Core / Application / Infrastructure</w:t>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BBBBBB" w:sz="1"/>
              <w:left w:val="single" w:color="BBBBBB" w:sz="1"/>
              <w:bottom w:val="single" w:color="BBBBBB" w:sz="1"/>
              <w:right w:val="single" w:color="BBBBBB"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Propósito</w:t>
            </w:r>
          </w:p>
        </w:tc>
        <w:tc>
          <w:tcPr>
            <w:tcW w:type="dxa" w:w="7560"/>
            <w:tcBorders>
              <w:top w:val="single" w:color="BBBBBB" w:sz="1"/>
              <w:left w:val="single" w:color="BBBBBB" w:sz="1"/>
              <w:bottom w:val="single" w:color="BBBBBB" w:sz="1"/>
              <w:right w:val="single" w:color="BBBBBB" w:sz="1"/>
            </w:tcBorders>
            <w:shd w:fill="D6E4F0" w:val="clear"/>
            <w:tcMar>
              <w:top w:type="dxa" w:w="80"/>
              <w:left w:type="dxa" w:w="120"/>
              <w:bottom w:type="dxa" w:w="80"/>
              <w:right w:type="dxa" w:w="120"/>
            </w:tcMar>
          </w:tcPr>
          <w:p>
            <w:r>
              <w:rPr>
                <w:rFonts w:ascii="Arial" w:cs="Arial" w:eastAsia="Arial" w:hAnsi="Arial"/>
                <w:sz w:val="20"/>
                <w:szCs w:val="20"/>
              </w:rPr>
              <w:t xml:space="preserve">Permitir que múltiples componentes (lógica de ocupación, control de barreras, pantalla LCD, auditoría) reaccionen a lecturas de sensores sin acoplarse directamente al origen del dato.</w:t>
            </w:r>
          </w:p>
        </w:tc>
      </w:tr>
    </w:tbl>
    <w:p>
      <w:pPr>
        <w:spacing w:after="60" w:before="60"/>
      </w:pPr>
      <w:r>
        <w:t xml:space="preserve"/>
      </w:r>
    </w:p>
    <w:p>
      <w:pPr>
        <w:pStyle w:val="Heading2"/>
        <w:spacing w:after="120" w:before="240"/>
      </w:pPr>
      <w:r>
        <w:rPr>
          <w:rFonts w:ascii="Arial" w:cs="Arial" w:eastAsia="Arial" w:hAnsi="Arial"/>
          <w:b/>
          <w:bCs/>
          <w:color w:val="2E75B6"/>
          <w:sz w:val="26"/>
          <w:szCs w:val="26"/>
        </w:rPr>
        <w:t xml:space="preserve">3.1 Diagrama de clases</w:t>
      </w:r>
    </w:p>
    <w:p>
      <w:pPr>
        <w:spacing w:after="100" w:before="80"/>
      </w:pPr>
      <w:r>
        <w:rPr>
          <w:rFonts w:ascii="Arial" w:cs="Arial" w:eastAsia="Arial" w:hAnsi="Arial"/>
          <w:sz w:val="22"/>
          <w:szCs w:val="22"/>
        </w:rPr>
        <w:t xml:space="preserve">La estructura del patrón Observer en el proyecto es la siguiente:</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BBBBB" w:sz="1"/>
              <w:left w:val="single" w:color="BBBBBB" w:sz="1"/>
              <w:bottom w:val="single" w:color="BBBBBB" w:sz="1"/>
              <w:right w:val="single" w:color="BBBBBB" w:sz="1"/>
            </w:tcBorders>
            <w:shd w:fill="F0F4F8" w:val="clear"/>
            <w:tcMar>
              <w:top w:type="dxa" w:w="120"/>
              <w:left w:type="dxa" w:w="200"/>
              <w:bottom w:type="dxa" w:w="120"/>
              <w:right w:type="dxa" w:w="200"/>
            </w:tcMar>
          </w:tcPr>
          <w:p>
            <w:r>
              <w:rPr>
                <w:rFonts w:ascii="Courier New" w:cs="Courier New" w:eastAsia="Courier New" w:hAnsi="Courier New"/>
                <w:color w:val="555555"/>
                <w:sz w:val="18"/>
                <w:szCs w:val="18"/>
              </w:rPr>
              <w:t xml:space="preserve">&lt;&lt;interface&gt;&gt;</w:t>
            </w:r>
          </w:p>
          <w:p>
            <w:r>
              <w:rPr>
                <w:rFonts w:ascii="Courier New" w:cs="Courier New" w:eastAsia="Courier New" w:hAnsi="Courier New"/>
                <w:b/>
                <w:bCs/>
                <w:color w:val="1F3864"/>
                <w:sz w:val="20"/>
                <w:szCs w:val="20"/>
              </w:rPr>
              <w:t xml:space="preserve">IEventPublisher</w:t>
            </w:r>
          </w:p>
          <w:p>
            <w:r>
              <w:rPr>
                <w:rFonts w:ascii="Courier New" w:cs="Courier New" w:eastAsia="Courier New" w:hAnsi="Courier New"/>
                <w:color w:val="888888"/>
                <w:sz w:val="18"/>
                <w:szCs w:val="18"/>
              </w:rPr>
              <w:t xml:space="preserve">───────────────────────────────────────────</w:t>
            </w:r>
          </w:p>
          <w:p>
            <w:r>
              <w:rPr>
                <w:rFonts w:ascii="Courier New" w:cs="Courier New" w:eastAsia="Courier New" w:hAnsi="Courier New"/>
                <w:color w:val="333333"/>
                <w:sz w:val="18"/>
                <w:szCs w:val="18"/>
              </w:rPr>
              <w:t xml:space="preserve">+ Publish&lt;TEvent&gt;(event)  : void</w:t>
            </w:r>
          </w:p>
          <w:p>
            <w:r>
              <w:rPr>
                <w:rFonts w:ascii="Courier New" w:cs="Courier New" w:eastAsia="Courier New" w:hAnsi="Courier New"/>
                <w:color w:val="333333"/>
                <w:sz w:val="18"/>
                <w:szCs w:val="18"/>
              </w:rPr>
              <w:t xml:space="preserve">+ Subscribe&lt;TEvent&gt;(handler) : void</w:t>
            </w:r>
          </w:p>
          <w:p>
            <w:r>
              <w:rPr>
                <w:sz w:val="16"/>
                <w:szCs w:val="16"/>
              </w:rPr>
              <w:t xml:space="preserve"/>
            </w:r>
          </w:p>
          <w:p>
            <w:r>
              <w:rPr>
                <w:rFonts w:ascii="Courier New" w:cs="Courier New" w:eastAsia="Courier New" w:hAnsi="Courier New"/>
                <w:color w:val="555555"/>
                <w:sz w:val="18"/>
                <w:szCs w:val="18"/>
              </w:rPr>
              <w:t xml:space="preserve">                    ▲</w:t>
            </w:r>
          </w:p>
          <w:p>
            <w:r>
              <w:rPr>
                <w:rFonts w:ascii="Courier New" w:cs="Courier New" w:eastAsia="Courier New" w:hAnsi="Courier New"/>
                <w:color w:val="777777"/>
                <w:sz w:val="16"/>
                <w:szCs w:val="16"/>
              </w:rPr>
              <w:t xml:space="preserve">                    |  implements</w:t>
            </w:r>
          </w:p>
          <w:p>
            <w:r>
              <w:rPr>
                <w:rFonts w:ascii="Courier New" w:cs="Courier New" w:eastAsia="Courier New" w:hAnsi="Courier New"/>
                <w:b/>
                <w:bCs/>
                <w:color w:val="2E75B6"/>
                <w:sz w:val="20"/>
                <w:szCs w:val="20"/>
              </w:rPr>
              <w:t xml:space="preserve">           InProcessEventBus</w:t>
            </w:r>
          </w:p>
          <w:p>
            <w:r>
              <w:rPr>
                <w:rFonts w:ascii="Courier New" w:cs="Courier New" w:eastAsia="Courier New" w:hAnsi="Courier New"/>
                <w:color w:val="666666"/>
                <w:sz w:val="16"/>
                <w:szCs w:val="16"/>
              </w:rPr>
              <w:t xml:space="preserve">  (ConcurrentDictionary&lt;Type, List&lt;Delegate&gt;&gt;)</w:t>
            </w:r>
          </w:p>
          <w:p>
            <w:r>
              <w:rPr>
                <w:sz w:val="16"/>
                <w:szCs w:val="16"/>
              </w:rPr>
              <w:t xml:space="preserve"/>
            </w:r>
          </w:p>
          <w:p>
            <w:r>
              <w:rPr>
                <w:rFonts w:ascii="Courier New" w:cs="Courier New" w:eastAsia="Courier New" w:hAnsi="Courier New"/>
                <w:b/>
                <w:bCs/>
                <w:color w:val="555555"/>
                <w:sz w:val="16"/>
                <w:szCs w:val="16"/>
              </w:rPr>
              <w:t xml:space="preserve">PUBLISHERS:</w:t>
            </w:r>
          </w:p>
          <w:p>
            <w:r>
              <w:rPr>
                <w:rFonts w:ascii="Courier New" w:cs="Courier New" w:eastAsia="Courier New" w:hAnsi="Courier New"/>
                <w:color w:val="333333"/>
                <w:sz w:val="18"/>
                <w:szCs w:val="18"/>
              </w:rPr>
              <w:t xml:space="preserve">  ArduinoSerialBridge ──&gt; Publish(SensorReadingReceived)</w:t>
            </w:r>
          </w:p>
          <w:p>
            <w:r>
              <w:rPr>
                <w:rFonts w:ascii="Courier New" w:cs="Courier New" w:eastAsia="Courier New" w:hAnsi="Courier New"/>
                <w:color w:val="333333"/>
                <w:sz w:val="18"/>
                <w:szCs w:val="18"/>
              </w:rPr>
              <w:t xml:space="preserve">  ParkingSpot          ──&gt; Publish(SpotOccupancyChanged)</w:t>
            </w:r>
          </w:p>
          <w:p>
            <w:r>
              <w:rPr>
                <w:sz w:val="16"/>
                <w:szCs w:val="16"/>
              </w:rPr>
              <w:t xml:space="preserve"/>
            </w:r>
          </w:p>
          <w:p>
            <w:r>
              <w:rPr>
                <w:rFonts w:ascii="Courier New" w:cs="Courier New" w:eastAsia="Courier New" w:hAnsi="Courier New"/>
                <w:b/>
                <w:bCs/>
                <w:color w:val="555555"/>
                <w:sz w:val="16"/>
                <w:szCs w:val="16"/>
              </w:rPr>
              <w:t xml:space="preserve">SUBSCRIBERS (handlers):</w:t>
            </w:r>
          </w:p>
          <w:p>
            <w:r>
              <w:rPr>
                <w:rFonts w:ascii="Courier New" w:cs="Courier New" w:eastAsia="Courier New" w:hAnsi="Courier New"/>
                <w:color w:val="333333"/>
                <w:sz w:val="18"/>
                <w:szCs w:val="18"/>
              </w:rPr>
              <w:t xml:space="preserve">  HandleSensorReadingUseCase   &lt;── Subscribe&lt;SensorReadingReceived&gt;</w:t>
            </w:r>
          </w:p>
          <w:p>
            <w:r>
              <w:rPr>
                <w:rFonts w:ascii="Courier New" w:cs="Courier New" w:eastAsia="Courier New" w:hAnsi="Courier New"/>
                <w:color w:val="333333"/>
                <w:sz w:val="18"/>
                <w:szCs w:val="18"/>
              </w:rPr>
              <w:t xml:space="preserve">  GateSensorHandler            &lt;── Subscribe&lt;SensorReadingReceived&gt;</w:t>
            </w:r>
          </w:p>
          <w:p>
            <w:r>
              <w:rPr>
                <w:rFonts w:ascii="Courier New" w:cs="Courier New" w:eastAsia="Courier New" w:hAnsi="Courier New"/>
                <w:color w:val="333333"/>
                <w:sz w:val="18"/>
                <w:szCs w:val="18"/>
              </w:rPr>
              <w:t xml:space="preserve">  SpotOccupancyChangedHandler  &lt;── Subscribe&lt;SpotOccupancyChanged&gt;</w:t>
            </w:r>
          </w:p>
          <w:p>
            <w:r>
              <w:rPr>
                <w:rFonts w:ascii="Courier New" w:cs="Courier New" w:eastAsia="Courier New" w:hAnsi="Courier New"/>
                <w:color w:val="333333"/>
                <w:sz w:val="18"/>
                <w:szCs w:val="18"/>
              </w:rPr>
              <w:t xml:space="preserve">  LcdCapacityHandler           &lt;── Subscribe&lt;SpotOccupancyChanged&gt;</w:t>
            </w:r>
          </w:p>
        </w:tc>
      </w:tr>
    </w:tbl>
    <w:p>
      <w:pPr>
        <w:spacing w:after="60" w:before="60"/>
      </w:pPr>
      <w:r>
        <w:t xml:space="preserve"/>
      </w:r>
    </w:p>
    <w:p>
      <w:pPr>
        <w:pStyle w:val="Heading2"/>
        <w:spacing w:after="120" w:before="240"/>
      </w:pPr>
      <w:r>
        <w:rPr>
          <w:rFonts w:ascii="Arial" w:cs="Arial" w:eastAsia="Arial" w:hAnsi="Arial"/>
          <w:b/>
          <w:bCs/>
          <w:color w:val="2E75B6"/>
          <w:sz w:val="26"/>
          <w:szCs w:val="26"/>
        </w:rPr>
        <w:t xml:space="preserve">3.2 Clases involucradas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2100"/>
        <w:gridCol w:w="4660"/>
      </w:tblGrid>
      <w:tr>
        <w:tc>
          <w:tcPr>
            <w:tcW w:type="dxa" w:w="2600"/>
            <w:tcBorders>
              <w:top w:val="single" w:color="BBBBBB" w:sz="1"/>
              <w:left w:val="single" w:color="BBBBBB" w:sz="1"/>
              <w:bottom w:val="single" w:color="BBBBBB" w:sz="1"/>
              <w:right w:val="single" w:color="BBBBBB"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Elemento</w:t>
            </w:r>
          </w:p>
        </w:tc>
        <w:tc>
          <w:tcPr>
            <w:tcW w:type="dxa" w:w="2100"/>
            <w:tcBorders>
              <w:top w:val="single" w:color="BBBBBB" w:sz="1"/>
              <w:left w:val="single" w:color="BBBBBB" w:sz="1"/>
              <w:bottom w:val="single" w:color="BBBBBB" w:sz="1"/>
              <w:right w:val="single" w:color="BBBBBB"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Rol en Observer</w:t>
            </w:r>
          </w:p>
        </w:tc>
        <w:tc>
          <w:tcPr>
            <w:tcW w:type="dxa" w:w="4660"/>
            <w:tcBorders>
              <w:top w:val="single" w:color="BBBBBB" w:sz="1"/>
              <w:left w:val="single" w:color="BBBBBB" w:sz="1"/>
              <w:bottom w:val="single" w:color="BBBBBB" w:sz="1"/>
              <w:right w:val="single" w:color="BBBBBB"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Responsabilidad</w:t>
            </w:r>
          </w:p>
        </w:tc>
      </w:tr>
      <w:tr>
        <w:tc>
          <w:tcPr>
            <w:tcW w:type="dxa" w:w="26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Courier New" w:cs="Courier New" w:eastAsia="Courier New" w:hAnsi="Courier New"/>
                <w:b w:val="false"/>
                <w:bCs w:val="false"/>
                <w:color w:val="1F3864"/>
                <w:sz w:val="20"/>
                <w:szCs w:val="20"/>
              </w:rPr>
              <w:t xml:space="preserve">IEventPublisher</w:t>
            </w:r>
          </w:p>
        </w:tc>
        <w:tc>
          <w:tcPr>
            <w:tcW w:type="dxa" w:w="21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bCs/>
                <w:color w:val="222222"/>
                <w:sz w:val="20"/>
                <w:szCs w:val="20"/>
              </w:rPr>
              <w:t xml:space="preserve">Publisher (interfaz)</w:t>
            </w:r>
          </w:p>
        </w:tc>
        <w:tc>
          <w:tcPr>
            <w:tcW w:type="dxa" w:w="46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Contrato del bus de eventos: expone Publish&lt;T&gt;() y Subscribe&lt;T&gt;(). El dominio sólo conoce esta interfaz.</w:t>
            </w:r>
          </w:p>
        </w:tc>
      </w:tr>
      <w:tr>
        <w:tc>
          <w:tcPr>
            <w:tcW w:type="dxa" w:w="26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Courier New" w:cs="Courier New" w:eastAsia="Courier New" w:hAnsi="Courier New"/>
                <w:b w:val="false"/>
                <w:bCs w:val="false"/>
                <w:color w:val="1F3864"/>
                <w:sz w:val="20"/>
                <w:szCs w:val="20"/>
              </w:rPr>
              <w:t xml:space="preserve">InProcessEventBus</w:t>
            </w:r>
          </w:p>
        </w:tc>
        <w:tc>
          <w:tcPr>
            <w:tcW w:type="dxa" w:w="21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b/>
                <w:bCs/>
                <w:color w:val="222222"/>
                <w:sz w:val="20"/>
                <w:szCs w:val="20"/>
              </w:rPr>
              <w:t xml:space="preserve">ConcretePublisher</w:t>
            </w:r>
          </w:p>
        </w:tc>
        <w:tc>
          <w:tcPr>
            <w:tcW w:type="dxa" w:w="466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b w:val="false"/>
                <w:bCs w:val="false"/>
                <w:color w:val="222222"/>
                <w:sz w:val="20"/>
                <w:szCs w:val="20"/>
              </w:rPr>
              <w:t xml:space="preserve">Implementación en memoria usando ConcurrentDictionary&lt;Type, List&lt;Delegate&gt;&gt;. Almacena suscriptores por tipo de evento y los notifica en orden.</w:t>
            </w:r>
          </w:p>
        </w:tc>
      </w:tr>
      <w:tr>
        <w:tc>
          <w:tcPr>
            <w:tcW w:type="dxa" w:w="26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Courier New" w:cs="Courier New" w:eastAsia="Courier New" w:hAnsi="Courier New"/>
                <w:b w:val="false"/>
                <w:bCs w:val="false"/>
                <w:color w:val="1F3864"/>
                <w:sz w:val="20"/>
                <w:szCs w:val="20"/>
              </w:rPr>
              <w:t xml:space="preserve">SensorReadingReceived</w:t>
            </w:r>
          </w:p>
        </w:tc>
        <w:tc>
          <w:tcPr>
            <w:tcW w:type="dxa" w:w="21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bCs/>
                <w:color w:val="222222"/>
                <w:sz w:val="20"/>
                <w:szCs w:val="20"/>
              </w:rPr>
              <w:t xml:space="preserve">Event (mensaje)</w:t>
            </w:r>
          </w:p>
        </w:tc>
        <w:tc>
          <w:tcPr>
            <w:tcW w:type="dxa" w:w="46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Record inmutable que transporta: SensorId, SensorType, RawValue y Timestamp. Publicado por ArduinoSerialBridge al leer el puerto serial.</w:t>
            </w:r>
          </w:p>
        </w:tc>
      </w:tr>
      <w:tr>
        <w:tc>
          <w:tcPr>
            <w:tcW w:type="dxa" w:w="26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Courier New" w:cs="Courier New" w:eastAsia="Courier New" w:hAnsi="Courier New"/>
                <w:b w:val="false"/>
                <w:bCs w:val="false"/>
                <w:color w:val="1F3864"/>
                <w:sz w:val="20"/>
                <w:szCs w:val="20"/>
              </w:rPr>
              <w:t xml:space="preserve">SpotOccupancyChanged</w:t>
            </w:r>
          </w:p>
        </w:tc>
        <w:tc>
          <w:tcPr>
            <w:tcW w:type="dxa" w:w="21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b/>
                <w:bCs/>
                <w:color w:val="222222"/>
                <w:sz w:val="20"/>
                <w:szCs w:val="20"/>
              </w:rPr>
              <w:t xml:space="preserve">Event (mensaje)</w:t>
            </w:r>
          </w:p>
        </w:tc>
        <w:tc>
          <w:tcPr>
            <w:tcW w:type="dxa" w:w="466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b w:val="false"/>
                <w:bCs w:val="false"/>
                <w:color w:val="222222"/>
                <w:sz w:val="20"/>
                <w:szCs w:val="20"/>
              </w:rPr>
              <w:t xml:space="preserve">Record inmutable que transporta: SpotId, IsOccupied, Source y Timestamp. Publicado por ParkingSpot al cambiar su estado de ocupación.</w:t>
            </w:r>
          </w:p>
        </w:tc>
      </w:tr>
      <w:tr>
        <w:tc>
          <w:tcPr>
            <w:tcW w:type="dxa" w:w="26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Courier New" w:cs="Courier New" w:eastAsia="Courier New" w:hAnsi="Courier New"/>
                <w:b w:val="false"/>
                <w:bCs w:val="false"/>
                <w:color w:val="1F3864"/>
                <w:sz w:val="20"/>
                <w:szCs w:val="20"/>
              </w:rPr>
              <w:t xml:space="preserve">HandleSensorReadingUseCase</w:t>
            </w:r>
          </w:p>
        </w:tc>
        <w:tc>
          <w:tcPr>
            <w:tcW w:type="dxa" w:w="21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bCs/>
                <w:color w:val="222222"/>
                <w:sz w:val="20"/>
                <w:szCs w:val="20"/>
              </w:rPr>
              <w:t xml:space="preserve">ConcreteSubscriber</w:t>
            </w:r>
          </w:p>
        </w:tc>
        <w:tc>
          <w:tcPr>
            <w:tcW w:type="dxa" w:w="46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Mapea la lectura del sensor al espacio físico de parqueo correspondiente y actualiza su estado de ocupación.</w:t>
            </w:r>
          </w:p>
        </w:tc>
      </w:tr>
      <w:tr>
        <w:tc>
          <w:tcPr>
            <w:tcW w:type="dxa" w:w="26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Courier New" w:cs="Courier New" w:eastAsia="Courier New" w:hAnsi="Courier New"/>
                <w:b w:val="false"/>
                <w:bCs w:val="false"/>
                <w:color w:val="1F3864"/>
                <w:sz w:val="20"/>
                <w:szCs w:val="20"/>
              </w:rPr>
              <w:t xml:space="preserve">GateSensorHandler</w:t>
            </w:r>
          </w:p>
        </w:tc>
        <w:tc>
          <w:tcPr>
            <w:tcW w:type="dxa" w:w="21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b/>
                <w:bCs/>
                <w:color w:val="222222"/>
                <w:sz w:val="20"/>
                <w:szCs w:val="20"/>
              </w:rPr>
              <w:t xml:space="preserve">ConcreteSubscriber</w:t>
            </w:r>
          </w:p>
        </w:tc>
        <w:tc>
          <w:tcPr>
            <w:tcW w:type="dxa" w:w="466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b w:val="false"/>
                <w:bCs w:val="false"/>
                <w:color w:val="222222"/>
                <w:sz w:val="20"/>
                <w:szCs w:val="20"/>
              </w:rPr>
              <w:t xml:space="preserve">Si la lectura proviene de un sensor de barrera, reconoce la placa del vehículo y crea el Request de entrada/salida.</w:t>
            </w:r>
          </w:p>
        </w:tc>
      </w:tr>
      <w:tr>
        <w:tc>
          <w:tcPr>
            <w:tcW w:type="dxa" w:w="26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Courier New" w:cs="Courier New" w:eastAsia="Courier New" w:hAnsi="Courier New"/>
                <w:b w:val="false"/>
                <w:bCs w:val="false"/>
                <w:color w:val="1F3864"/>
                <w:sz w:val="20"/>
                <w:szCs w:val="20"/>
              </w:rPr>
              <w:t xml:space="preserve">SpotOccupancyChangedHandler</w:t>
            </w:r>
          </w:p>
        </w:tc>
        <w:tc>
          <w:tcPr>
            <w:tcW w:type="dxa" w:w="21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bCs/>
                <w:color w:val="222222"/>
                <w:sz w:val="20"/>
                <w:szCs w:val="20"/>
              </w:rPr>
              <w:t xml:space="preserve">ConcreteSubscriber</w:t>
            </w:r>
          </w:p>
        </w:tc>
        <w:tc>
          <w:tcPr>
            <w:tcW w:type="dxa" w:w="46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Cuando un espacio cambia de estado, envía el comando al actuador LED físico correspondiente.</w:t>
            </w:r>
          </w:p>
        </w:tc>
      </w:tr>
      <w:tr>
        <w:tc>
          <w:tcPr>
            <w:tcW w:type="dxa" w:w="26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Courier New" w:cs="Courier New" w:eastAsia="Courier New" w:hAnsi="Courier New"/>
                <w:b w:val="false"/>
                <w:bCs w:val="false"/>
                <w:color w:val="1F3864"/>
                <w:sz w:val="20"/>
                <w:szCs w:val="20"/>
              </w:rPr>
              <w:t xml:space="preserve">LcdCapacityHandler</w:t>
            </w:r>
          </w:p>
        </w:tc>
        <w:tc>
          <w:tcPr>
            <w:tcW w:type="dxa" w:w="21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b/>
                <w:bCs/>
                <w:color w:val="222222"/>
                <w:sz w:val="20"/>
                <w:szCs w:val="20"/>
              </w:rPr>
              <w:t xml:space="preserve">ConcreteSubscriber</w:t>
            </w:r>
          </w:p>
        </w:tc>
        <w:tc>
          <w:tcPr>
            <w:tcW w:type="dxa" w:w="466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b w:val="false"/>
                <w:bCs w:val="false"/>
                <w:color w:val="222222"/>
                <w:sz w:val="20"/>
                <w:szCs w:val="20"/>
              </w:rPr>
              <w:t xml:space="preserve">Actualiza la pantalla LCD con el número de espacios disponibles cada vez que cambia la ocupación.</w:t>
            </w:r>
          </w:p>
        </w:tc>
      </w:tr>
    </w:tbl>
    <w:p>
      <w:pPr>
        <w:spacing w:after="60" w:before="60"/>
      </w:pPr>
      <w:r>
        <w:t xml:space="preserve"/>
      </w:r>
    </w:p>
    <w:p>
      <w:pPr>
        <w:pStyle w:val="Heading1"/>
        <w:spacing w:after="160" w:before="320"/>
      </w:pPr>
      <w:r>
        <w:rPr>
          <w:rFonts w:ascii="Arial" w:cs="Arial" w:eastAsia="Arial" w:hAnsi="Arial"/>
          <w:b/>
          <w:bCs/>
          <w:color w:val="1F3864"/>
          <w:sz w:val="32"/>
          <w:szCs w:val="32"/>
        </w:rPr>
        <w:t xml:space="preserve">4. Fragmentos de Código Relevantes</w:t>
      </w:r>
    </w:p>
    <w:p>
      <w:pPr>
        <w:pStyle w:val="Heading2"/>
        <w:spacing w:after="120" w:before="240"/>
      </w:pPr>
      <w:r>
        <w:rPr>
          <w:rFonts w:ascii="Arial" w:cs="Arial" w:eastAsia="Arial" w:hAnsi="Arial"/>
          <w:b/>
          <w:bCs/>
          <w:color w:val="2E75B6"/>
          <w:sz w:val="26"/>
          <w:szCs w:val="26"/>
        </w:rPr>
        <w:t xml:space="preserve">4.1 Interfaz del Publisher – IEventPublisher.cs</w:t>
      </w:r>
    </w:p>
    <w:p>
      <w:pPr>
        <w:shd w:fill="F5F5F5" w:val="clear"/>
        <w:spacing w:after="40" w:before="40"/>
        <w:ind w:left="360"/>
      </w:pPr>
      <w:r>
        <w:rPr>
          <w:rFonts w:ascii="Courier New" w:cs="Courier New" w:eastAsia="Courier New" w:hAnsi="Courier New"/>
          <w:color w:val="333333"/>
          <w:sz w:val="18"/>
          <w:szCs w:val="18"/>
        </w:rPr>
        <w:t xml:space="preserve">public interface IEventPublisher</w:t>
      </w:r>
    </w:p>
    <w:p>
      <w:pPr>
        <w:shd w:fill="F5F5F5" w:val="clear"/>
        <w:spacing w:after="40" w:before="40"/>
        <w:ind w:left="360"/>
      </w:pPr>
      <w:r>
        <w:rPr>
          <w:rFonts w:ascii="Courier New" w:cs="Courier New" w:eastAsia="Courier New" w:hAnsi="Courier New"/>
          <w:color w:val="333333"/>
          <w:sz w:val="18"/>
          <w:szCs w:val="18"/>
        </w:rPr>
        <w:t xml:space="preserve">{</w:t>
      </w:r>
    </w:p>
    <w:p>
      <w:pPr>
        <w:shd w:fill="F5F5F5" w:val="clear"/>
        <w:spacing w:after="40" w:before="40"/>
        <w:ind w:left="360"/>
      </w:pPr>
      <w:r>
        <w:rPr>
          <w:rFonts w:ascii="Courier New" w:cs="Courier New" w:eastAsia="Courier New" w:hAnsi="Courier New"/>
          <w:color w:val="333333"/>
          <w:sz w:val="18"/>
          <w:szCs w:val="18"/>
        </w:rPr>
        <w:t xml:space="preserve">    // Publica un evento a todos los suscriptores registrados</w:t>
      </w:r>
    </w:p>
    <w:p>
      <w:pPr>
        <w:shd w:fill="F5F5F5" w:val="clear"/>
        <w:spacing w:after="40" w:before="40"/>
        <w:ind w:left="360"/>
      </w:pPr>
      <w:r>
        <w:rPr>
          <w:rFonts w:ascii="Courier New" w:cs="Courier New" w:eastAsia="Courier New" w:hAnsi="Courier New"/>
          <w:color w:val="333333"/>
          <w:sz w:val="18"/>
          <w:szCs w:val="18"/>
        </w:rPr>
        <w:t xml:space="preserve">    void Publish&lt;TEvent&gt;(TEvent @event) where TEvent : notnull;</w:t>
      </w:r>
    </w:p>
    <w:p>
      <w:pPr>
        <w:shd w:fill="F5F5F5" w:val="clear"/>
        <w:spacing w:after="40" w:before="40"/>
        <w:ind w:left="360"/>
      </w:pPr>
      <w:r>
        <w:rPr>
          <w:rFonts w:ascii="Courier New" w:cs="Courier New" w:eastAsia="Courier New" w:hAnsi="Courier New"/>
          <w:color w:val="333333"/>
          <w:sz w:val="18"/>
          <w:szCs w:val="18"/>
        </w:rPr>
        <w:t xml:space="preserve"/>
      </w:r>
    </w:p>
    <w:p>
      <w:pPr>
        <w:shd w:fill="F5F5F5" w:val="clear"/>
        <w:spacing w:after="40" w:before="40"/>
        <w:ind w:left="360"/>
      </w:pPr>
      <w:r>
        <w:rPr>
          <w:rFonts w:ascii="Courier New" w:cs="Courier New" w:eastAsia="Courier New" w:hAnsi="Courier New"/>
          <w:color w:val="333333"/>
          <w:sz w:val="18"/>
          <w:szCs w:val="18"/>
        </w:rPr>
        <w:t xml:space="preserve">    // Registra un manejador para un tipo de evento</w:t>
      </w:r>
    </w:p>
    <w:p>
      <w:pPr>
        <w:shd w:fill="F5F5F5" w:val="clear"/>
        <w:spacing w:after="40" w:before="40"/>
        <w:ind w:left="360"/>
      </w:pPr>
      <w:r>
        <w:rPr>
          <w:rFonts w:ascii="Courier New" w:cs="Courier New" w:eastAsia="Courier New" w:hAnsi="Courier New"/>
          <w:color w:val="333333"/>
          <w:sz w:val="18"/>
          <w:szCs w:val="18"/>
        </w:rPr>
        <w:t xml:space="preserve">    void Subscribe&lt;TEvent&gt;(Action&lt;TEvent&gt; handler) where TEvent : notnull;</w:t>
      </w:r>
    </w:p>
    <w:p>
      <w:pPr>
        <w:shd w:fill="F5F5F5" w:val="clear"/>
        <w:spacing w:after="40" w:before="40"/>
        <w:ind w:left="360"/>
      </w:pPr>
      <w:r>
        <w:rPr>
          <w:rFonts w:ascii="Courier New" w:cs="Courier New" w:eastAsia="Courier New" w:hAnsi="Courier New"/>
          <w:color w:val="333333"/>
          <w:sz w:val="18"/>
          <w:szCs w:val="18"/>
        </w:rPr>
        <w:t xml:space="preserve">}</w:t>
      </w:r>
    </w:p>
    <w:p>
      <w:pPr>
        <w:spacing w:after="60" w:before="60"/>
      </w:pPr>
      <w:r>
        <w:t xml:space="preserve"/>
      </w:r>
    </w:p>
    <w:p>
      <w:pPr>
        <w:pStyle w:val="Heading2"/>
        <w:spacing w:after="120" w:before="240"/>
      </w:pPr>
      <w:r>
        <w:rPr>
          <w:rFonts w:ascii="Arial" w:cs="Arial" w:eastAsia="Arial" w:hAnsi="Arial"/>
          <w:b/>
          <w:bCs/>
          <w:color w:val="2E75B6"/>
          <w:sz w:val="26"/>
          <w:szCs w:val="26"/>
        </w:rPr>
        <w:t xml:space="preserve">4.2 Implementación concreta – InProcessEventBus.cs</w:t>
      </w:r>
    </w:p>
    <w:p>
      <w:pPr>
        <w:shd w:fill="F5F5F5" w:val="clear"/>
        <w:spacing w:after="40" w:before="40"/>
        <w:ind w:left="360"/>
      </w:pPr>
      <w:r>
        <w:rPr>
          <w:rFonts w:ascii="Courier New" w:cs="Courier New" w:eastAsia="Courier New" w:hAnsi="Courier New"/>
          <w:color w:val="333333"/>
          <w:sz w:val="18"/>
          <w:szCs w:val="18"/>
        </w:rPr>
        <w:t xml:space="preserve">public sealed class InProcessEventBus : IEventPublisher</w:t>
      </w:r>
    </w:p>
    <w:p>
      <w:pPr>
        <w:shd w:fill="F5F5F5" w:val="clear"/>
        <w:spacing w:after="40" w:before="40"/>
        <w:ind w:left="360"/>
      </w:pPr>
      <w:r>
        <w:rPr>
          <w:rFonts w:ascii="Courier New" w:cs="Courier New" w:eastAsia="Courier New" w:hAnsi="Courier New"/>
          <w:color w:val="333333"/>
          <w:sz w:val="18"/>
          <w:szCs w:val="18"/>
        </w:rPr>
        <w:t xml:space="preserve">{</w:t>
      </w:r>
    </w:p>
    <w:p>
      <w:pPr>
        <w:shd w:fill="F5F5F5" w:val="clear"/>
        <w:spacing w:after="40" w:before="40"/>
        <w:ind w:left="360"/>
      </w:pPr>
      <w:r>
        <w:rPr>
          <w:rFonts w:ascii="Courier New" w:cs="Courier New" w:eastAsia="Courier New" w:hAnsi="Courier New"/>
          <w:color w:val="333333"/>
          <w:sz w:val="18"/>
          <w:szCs w:val="18"/>
        </w:rPr>
        <w:t xml:space="preserve">    // Diccionario: tipo de evento -&gt; lista de manejadores</w:t>
      </w:r>
    </w:p>
    <w:p>
      <w:pPr>
        <w:shd w:fill="F5F5F5" w:val="clear"/>
        <w:spacing w:after="40" w:before="40"/>
        <w:ind w:left="360"/>
      </w:pPr>
      <w:r>
        <w:rPr>
          <w:rFonts w:ascii="Courier New" w:cs="Courier New" w:eastAsia="Courier New" w:hAnsi="Courier New"/>
          <w:color w:val="333333"/>
          <w:sz w:val="18"/>
          <w:szCs w:val="18"/>
        </w:rPr>
        <w:t xml:space="preserve">    private readonly ConcurrentDictionary&lt;Type, List&lt;Delegate&gt;&gt; _handlers = new();</w:t>
      </w:r>
    </w:p>
    <w:p>
      <w:pPr>
        <w:shd w:fill="F5F5F5" w:val="clear"/>
        <w:spacing w:after="40" w:before="40"/>
        <w:ind w:left="360"/>
      </w:pPr>
      <w:r>
        <w:rPr>
          <w:rFonts w:ascii="Courier New" w:cs="Courier New" w:eastAsia="Courier New" w:hAnsi="Courier New"/>
          <w:color w:val="333333"/>
          <w:sz w:val="18"/>
          <w:szCs w:val="18"/>
        </w:rPr>
        <w:t xml:space="preserve"/>
      </w:r>
    </w:p>
    <w:p>
      <w:pPr>
        <w:shd w:fill="F5F5F5" w:val="clear"/>
        <w:spacing w:after="40" w:before="40"/>
        <w:ind w:left="360"/>
      </w:pPr>
      <w:r>
        <w:rPr>
          <w:rFonts w:ascii="Courier New" w:cs="Courier New" w:eastAsia="Courier New" w:hAnsi="Courier New"/>
          <w:color w:val="333333"/>
          <w:sz w:val="18"/>
          <w:szCs w:val="18"/>
        </w:rPr>
        <w:t xml:space="preserve">    public void Subscribe&lt;TEvent&gt;(Action&lt;TEvent&gt; handler) where TEvent : notnull</w:t>
      </w:r>
    </w:p>
    <w:p>
      <w:pPr>
        <w:shd w:fill="F5F5F5" w:val="clear"/>
        <w:spacing w:after="40" w:before="40"/>
        <w:ind w:left="360"/>
      </w:pPr>
      <w:r>
        <w:rPr>
          <w:rFonts w:ascii="Courier New" w:cs="Courier New" w:eastAsia="Courier New" w:hAnsi="Courier New"/>
          <w:color w:val="333333"/>
          <w:sz w:val="18"/>
          <w:szCs w:val="18"/>
        </w:rPr>
        <w:t xml:space="preserve">    {</w:t>
      </w:r>
    </w:p>
    <w:p>
      <w:pPr>
        <w:shd w:fill="F5F5F5" w:val="clear"/>
        <w:spacing w:after="40" w:before="40"/>
        <w:ind w:left="360"/>
      </w:pPr>
      <w:r>
        <w:rPr>
          <w:rFonts w:ascii="Courier New" w:cs="Courier New" w:eastAsia="Courier New" w:hAnsi="Courier New"/>
          <w:color w:val="333333"/>
          <w:sz w:val="18"/>
          <w:szCs w:val="18"/>
        </w:rPr>
        <w:t xml:space="preserve">        var list = _handlers.GetOrAdd(typeof(TEvent), _ =&gt; new List&lt;Delegate&gt;());</w:t>
      </w:r>
    </w:p>
    <w:p>
      <w:pPr>
        <w:shd w:fill="F5F5F5" w:val="clear"/>
        <w:spacing w:after="40" w:before="40"/>
        <w:ind w:left="360"/>
      </w:pPr>
      <w:r>
        <w:rPr>
          <w:rFonts w:ascii="Courier New" w:cs="Courier New" w:eastAsia="Courier New" w:hAnsi="Courier New"/>
          <w:color w:val="333333"/>
          <w:sz w:val="18"/>
          <w:szCs w:val="18"/>
        </w:rPr>
        <w:t xml:space="preserve">        lock (list) list.Add(handler);</w:t>
      </w:r>
    </w:p>
    <w:p>
      <w:pPr>
        <w:shd w:fill="F5F5F5" w:val="clear"/>
        <w:spacing w:after="40" w:before="40"/>
        <w:ind w:left="360"/>
      </w:pPr>
      <w:r>
        <w:rPr>
          <w:rFonts w:ascii="Courier New" w:cs="Courier New" w:eastAsia="Courier New" w:hAnsi="Courier New"/>
          <w:color w:val="333333"/>
          <w:sz w:val="18"/>
          <w:szCs w:val="18"/>
        </w:rPr>
        <w:t xml:space="preserve">    }</w:t>
      </w:r>
    </w:p>
    <w:p>
      <w:pPr>
        <w:shd w:fill="F5F5F5" w:val="clear"/>
        <w:spacing w:after="40" w:before="40"/>
        <w:ind w:left="360"/>
      </w:pPr>
      <w:r>
        <w:rPr>
          <w:rFonts w:ascii="Courier New" w:cs="Courier New" w:eastAsia="Courier New" w:hAnsi="Courier New"/>
          <w:color w:val="333333"/>
          <w:sz w:val="18"/>
          <w:szCs w:val="18"/>
        </w:rPr>
        <w:t xml:space="preserve"/>
      </w:r>
    </w:p>
    <w:p>
      <w:pPr>
        <w:shd w:fill="F5F5F5" w:val="clear"/>
        <w:spacing w:after="40" w:before="40"/>
        <w:ind w:left="360"/>
      </w:pPr>
      <w:r>
        <w:rPr>
          <w:rFonts w:ascii="Courier New" w:cs="Courier New" w:eastAsia="Courier New" w:hAnsi="Courier New"/>
          <w:color w:val="333333"/>
          <w:sz w:val="18"/>
          <w:szCs w:val="18"/>
        </w:rPr>
        <w:t xml:space="preserve">    public void Publish&lt;TEvent&gt;(TEvent @event) where TEvent : notnull</w:t>
      </w:r>
    </w:p>
    <w:p>
      <w:pPr>
        <w:shd w:fill="F5F5F5" w:val="clear"/>
        <w:spacing w:after="40" w:before="40"/>
        <w:ind w:left="360"/>
      </w:pPr>
      <w:r>
        <w:rPr>
          <w:rFonts w:ascii="Courier New" w:cs="Courier New" w:eastAsia="Courier New" w:hAnsi="Courier New"/>
          <w:color w:val="333333"/>
          <w:sz w:val="18"/>
          <w:szCs w:val="18"/>
        </w:rPr>
        <w:t xml:space="preserve">    {</w:t>
      </w:r>
    </w:p>
    <w:p>
      <w:pPr>
        <w:shd w:fill="F5F5F5" w:val="clear"/>
        <w:spacing w:after="40" w:before="40"/>
        <w:ind w:left="360"/>
      </w:pPr>
      <w:r>
        <w:rPr>
          <w:rFonts w:ascii="Courier New" w:cs="Courier New" w:eastAsia="Courier New" w:hAnsi="Courier New"/>
          <w:color w:val="333333"/>
          <w:sz w:val="18"/>
          <w:szCs w:val="18"/>
        </w:rPr>
        <w:t xml:space="preserve">        if (!_handlers.TryGetValue(typeof(TEvent), out var list)) return;</w:t>
      </w:r>
    </w:p>
    <w:p>
      <w:pPr>
        <w:shd w:fill="F5F5F5" w:val="clear"/>
        <w:spacing w:after="40" w:before="40"/>
        <w:ind w:left="360"/>
      </w:pPr>
      <w:r>
        <w:rPr>
          <w:rFonts w:ascii="Courier New" w:cs="Courier New" w:eastAsia="Courier New" w:hAnsi="Courier New"/>
          <w:color w:val="333333"/>
          <w:sz w:val="18"/>
          <w:szCs w:val="18"/>
        </w:rPr>
        <w:t xml:space="preserve">        Delegate[] snapshot;</w:t>
      </w:r>
    </w:p>
    <w:p>
      <w:pPr>
        <w:shd w:fill="F5F5F5" w:val="clear"/>
        <w:spacing w:after="40" w:before="40"/>
        <w:ind w:left="360"/>
      </w:pPr>
      <w:r>
        <w:rPr>
          <w:rFonts w:ascii="Courier New" w:cs="Courier New" w:eastAsia="Courier New" w:hAnsi="Courier New"/>
          <w:color w:val="333333"/>
          <w:sz w:val="18"/>
          <w:szCs w:val="18"/>
        </w:rPr>
        <w:t xml:space="preserve">        lock (list) snapshot = list.ToArray(); // thread-safe snapshot</w:t>
      </w:r>
    </w:p>
    <w:p>
      <w:pPr>
        <w:shd w:fill="F5F5F5" w:val="clear"/>
        <w:spacing w:after="40" w:before="40"/>
        <w:ind w:left="360"/>
      </w:pPr>
      <w:r>
        <w:rPr>
          <w:rFonts w:ascii="Courier New" w:cs="Courier New" w:eastAsia="Courier New" w:hAnsi="Courier New"/>
          <w:color w:val="333333"/>
          <w:sz w:val="18"/>
          <w:szCs w:val="18"/>
        </w:rPr>
        <w:t xml:space="preserve">        foreach (var h in snapshot) ((Action&lt;TEvent&gt;)h)(@event);</w:t>
      </w:r>
    </w:p>
    <w:p>
      <w:pPr>
        <w:shd w:fill="F5F5F5" w:val="clear"/>
        <w:spacing w:after="40" w:before="40"/>
        <w:ind w:left="360"/>
      </w:pPr>
      <w:r>
        <w:rPr>
          <w:rFonts w:ascii="Courier New" w:cs="Courier New" w:eastAsia="Courier New" w:hAnsi="Courier New"/>
          <w:color w:val="333333"/>
          <w:sz w:val="18"/>
          <w:szCs w:val="18"/>
        </w:rPr>
        <w:t xml:space="preserve">    }</w:t>
      </w:r>
    </w:p>
    <w:p>
      <w:pPr>
        <w:shd w:fill="F5F5F5" w:val="clear"/>
        <w:spacing w:after="40" w:before="40"/>
        <w:ind w:left="360"/>
      </w:pPr>
      <w:r>
        <w:rPr>
          <w:rFonts w:ascii="Courier New" w:cs="Courier New" w:eastAsia="Courier New" w:hAnsi="Courier New"/>
          <w:color w:val="333333"/>
          <w:sz w:val="18"/>
          <w:szCs w:val="18"/>
        </w:rPr>
        <w:t xml:space="preserve">}</w:t>
      </w:r>
    </w:p>
    <w:p>
      <w:pPr>
        <w:spacing w:after="60" w:before="60"/>
      </w:pPr>
      <w:r>
        <w:t xml:space="preserve"/>
      </w:r>
    </w:p>
    <w:p>
      <w:pPr>
        <w:pStyle w:val="Heading2"/>
        <w:spacing w:after="120" w:before="240"/>
      </w:pPr>
      <w:r>
        <w:rPr>
          <w:rFonts w:ascii="Arial" w:cs="Arial" w:eastAsia="Arial" w:hAnsi="Arial"/>
          <w:b/>
          <w:bCs/>
          <w:color w:val="2E75B6"/>
          <w:sz w:val="26"/>
          <w:szCs w:val="26"/>
        </w:rPr>
        <w:t xml:space="preserve">4.3 Eventos (records inmutables)</w:t>
      </w:r>
    </w:p>
    <w:p>
      <w:pPr>
        <w:shd w:fill="F5F5F5" w:val="clear"/>
        <w:spacing w:after="40" w:before="40"/>
        <w:ind w:left="360"/>
      </w:pPr>
      <w:r>
        <w:rPr>
          <w:rFonts w:ascii="Courier New" w:cs="Courier New" w:eastAsia="Courier New" w:hAnsi="Courier New"/>
          <w:color w:val="333333"/>
          <w:sz w:val="18"/>
          <w:szCs w:val="18"/>
        </w:rPr>
        <w:t xml:space="preserve">// Evento: lectura de sensor</w:t>
      </w:r>
    </w:p>
    <w:p>
      <w:pPr>
        <w:shd w:fill="F5F5F5" w:val="clear"/>
        <w:spacing w:after="40" w:before="40"/>
        <w:ind w:left="360"/>
      </w:pPr>
      <w:r>
        <w:rPr>
          <w:rFonts w:ascii="Courier New" w:cs="Courier New" w:eastAsia="Courier New" w:hAnsi="Courier New"/>
          <w:color w:val="333333"/>
          <w:sz w:val="18"/>
          <w:szCs w:val="18"/>
        </w:rPr>
        <w:t xml:space="preserve">public sealed record SensorReadingReceived(</w:t>
      </w:r>
    </w:p>
    <w:p>
      <w:pPr>
        <w:shd w:fill="F5F5F5" w:val="clear"/>
        <w:spacing w:after="40" w:before="40"/>
        <w:ind w:left="360"/>
      </w:pPr>
      <w:r>
        <w:rPr>
          <w:rFonts w:ascii="Courier New" w:cs="Courier New" w:eastAsia="Courier New" w:hAnsi="Courier New"/>
          <w:color w:val="333333"/>
          <w:sz w:val="18"/>
          <w:szCs w:val="18"/>
        </w:rPr>
        <w:t xml:space="preserve">    string SensorId,</w:t>
      </w:r>
    </w:p>
    <w:p>
      <w:pPr>
        <w:shd w:fill="F5F5F5" w:val="clear"/>
        <w:spacing w:after="40" w:before="40"/>
        <w:ind w:left="360"/>
      </w:pPr>
      <w:r>
        <w:rPr>
          <w:rFonts w:ascii="Courier New" w:cs="Courier New" w:eastAsia="Courier New" w:hAnsi="Courier New"/>
          <w:color w:val="333333"/>
          <w:sz w:val="18"/>
          <w:szCs w:val="18"/>
        </w:rPr>
        <w:t xml:space="preserve">    string SensorType,</w:t>
      </w:r>
    </w:p>
    <w:p>
      <w:pPr>
        <w:shd w:fill="F5F5F5" w:val="clear"/>
        <w:spacing w:after="40" w:before="40"/>
        <w:ind w:left="360"/>
      </w:pPr>
      <w:r>
        <w:rPr>
          <w:rFonts w:ascii="Courier New" w:cs="Courier New" w:eastAsia="Courier New" w:hAnsi="Courier New"/>
          <w:color w:val="333333"/>
          <w:sz w:val="18"/>
          <w:szCs w:val="18"/>
        </w:rPr>
        <w:t xml:space="preserve">    string RawValue,</w:t>
      </w:r>
    </w:p>
    <w:p>
      <w:pPr>
        <w:shd w:fill="F5F5F5" w:val="clear"/>
        <w:spacing w:after="40" w:before="40"/>
        <w:ind w:left="360"/>
      </w:pPr>
      <w:r>
        <w:rPr>
          <w:rFonts w:ascii="Courier New" w:cs="Courier New" w:eastAsia="Courier New" w:hAnsi="Courier New"/>
          <w:color w:val="333333"/>
          <w:sz w:val="18"/>
          <w:szCs w:val="18"/>
        </w:rPr>
        <w:t xml:space="preserve">    DateTimeOffset Timestamp),</w:t>
      </w:r>
    </w:p>
    <w:p>
      <w:pPr>
        <w:shd w:fill="F5F5F5" w:val="clear"/>
        <w:spacing w:after="40" w:before="40"/>
        <w:ind w:left="360"/>
      </w:pPr>
      <w:r>
        <w:rPr>
          <w:rFonts w:ascii="Courier New" w:cs="Courier New" w:eastAsia="Courier New" w:hAnsi="Courier New"/>
          <w:color w:val="333333"/>
          <w:sz w:val="18"/>
          <w:szCs w:val="18"/>
        </w:rPr>
        <w:t xml:space="preserve">);</w:t>
      </w:r>
    </w:p>
    <w:p>
      <w:pPr>
        <w:shd w:fill="F5F5F5" w:val="clear"/>
        <w:spacing w:after="40" w:before="40"/>
        <w:ind w:left="360"/>
      </w:pPr>
      <w:r>
        <w:rPr>
          <w:rFonts w:ascii="Courier New" w:cs="Courier New" w:eastAsia="Courier New" w:hAnsi="Courier New"/>
          <w:color w:val="333333"/>
          <w:sz w:val="18"/>
          <w:szCs w:val="18"/>
        </w:rPr>
        <w:t xml:space="preserve"/>
      </w:r>
    </w:p>
    <w:p>
      <w:pPr>
        <w:shd w:fill="F5F5F5" w:val="clear"/>
        <w:spacing w:after="40" w:before="40"/>
        <w:ind w:left="360"/>
      </w:pPr>
      <w:r>
        <w:rPr>
          <w:rFonts w:ascii="Courier New" w:cs="Courier New" w:eastAsia="Courier New" w:hAnsi="Courier New"/>
          <w:color w:val="333333"/>
          <w:sz w:val="18"/>
          <w:szCs w:val="18"/>
        </w:rPr>
        <w:t xml:space="preserve">// Evento: cambio de estado de un espacio</w:t>
      </w:r>
    </w:p>
    <w:p>
      <w:pPr>
        <w:shd w:fill="F5F5F5" w:val="clear"/>
        <w:spacing w:after="40" w:before="40"/>
        <w:ind w:left="360"/>
      </w:pPr>
      <w:r>
        <w:rPr>
          <w:rFonts w:ascii="Courier New" w:cs="Courier New" w:eastAsia="Courier New" w:hAnsi="Courier New"/>
          <w:color w:val="333333"/>
          <w:sz w:val="18"/>
          <w:szCs w:val="18"/>
        </w:rPr>
        <w:t xml:space="preserve">public sealed record SpotOccupancyChanged(</w:t>
      </w:r>
    </w:p>
    <w:p>
      <w:pPr>
        <w:shd w:fill="F5F5F5" w:val="clear"/>
        <w:spacing w:after="40" w:before="40"/>
        <w:ind w:left="360"/>
      </w:pPr>
      <w:r>
        <w:rPr>
          <w:rFonts w:ascii="Courier New" w:cs="Courier New" w:eastAsia="Courier New" w:hAnsi="Courier New"/>
          <w:color w:val="333333"/>
          <w:sz w:val="18"/>
          <w:szCs w:val="18"/>
        </w:rPr>
        <w:t xml:space="preserve">    string SpotId,</w:t>
      </w:r>
    </w:p>
    <w:p>
      <w:pPr>
        <w:shd w:fill="F5F5F5" w:val="clear"/>
        <w:spacing w:after="40" w:before="40"/>
        <w:ind w:left="360"/>
      </w:pPr>
      <w:r>
        <w:rPr>
          <w:rFonts w:ascii="Courier New" w:cs="Courier New" w:eastAsia="Courier New" w:hAnsi="Courier New"/>
          <w:color w:val="333333"/>
          <w:sz w:val="18"/>
          <w:szCs w:val="18"/>
        </w:rPr>
        <w:t xml:space="preserve">    bool IsOccupied,</w:t>
      </w:r>
    </w:p>
    <w:p>
      <w:pPr>
        <w:shd w:fill="F5F5F5" w:val="clear"/>
        <w:spacing w:after="40" w:before="40"/>
        <w:ind w:left="360"/>
      </w:pPr>
      <w:r>
        <w:rPr>
          <w:rFonts w:ascii="Courier New" w:cs="Courier New" w:eastAsia="Courier New" w:hAnsi="Courier New"/>
          <w:color w:val="333333"/>
          <w:sz w:val="18"/>
          <w:szCs w:val="18"/>
        </w:rPr>
        <w:t xml:space="preserve">    string Source,</w:t>
      </w:r>
    </w:p>
    <w:p>
      <w:pPr>
        <w:shd w:fill="F5F5F5" w:val="clear"/>
        <w:spacing w:after="40" w:before="40"/>
        <w:ind w:left="360"/>
      </w:pPr>
      <w:r>
        <w:rPr>
          <w:rFonts w:ascii="Courier New" w:cs="Courier New" w:eastAsia="Courier New" w:hAnsi="Courier New"/>
          <w:color w:val="333333"/>
          <w:sz w:val="18"/>
          <w:szCs w:val="18"/>
        </w:rPr>
        <w:t xml:space="preserve">    DateTimeOffset Timestamp</w:t>
      </w:r>
    </w:p>
    <w:p>
      <w:pPr>
        <w:shd w:fill="F5F5F5" w:val="clear"/>
        <w:spacing w:after="40" w:before="40"/>
        <w:ind w:left="360"/>
      </w:pPr>
      <w:r>
        <w:rPr>
          <w:rFonts w:ascii="Courier New" w:cs="Courier New" w:eastAsia="Courier New" w:hAnsi="Courier New"/>
          <w:color w:val="333333"/>
          <w:sz w:val="18"/>
          <w:szCs w:val="18"/>
        </w:rPr>
        <w:t xml:space="preserve">);</w:t>
      </w:r>
    </w:p>
    <w:p>
      <w:pPr>
        <w:spacing w:after="60" w:before="60"/>
      </w:pPr>
      <w:r>
        <w:t xml:space="preserve"/>
      </w:r>
    </w:p>
    <w:p>
      <w:pPr>
        <w:pStyle w:val="Heading2"/>
        <w:spacing w:after="120" w:before="240"/>
      </w:pPr>
      <w:r>
        <w:rPr>
          <w:rFonts w:ascii="Arial" w:cs="Arial" w:eastAsia="Arial" w:hAnsi="Arial"/>
          <w:b/>
          <w:bCs/>
          <w:color w:val="2E75B6"/>
          <w:sz w:val="26"/>
          <w:szCs w:val="26"/>
        </w:rPr>
        <w:t xml:space="preserve">4.4 Suscripción de handlers (arranque de la aplicación)</w:t>
      </w:r>
    </w:p>
    <w:p>
      <w:pPr>
        <w:shd w:fill="F5F5F5" w:val="clear"/>
        <w:spacing w:after="40" w:before="40"/>
        <w:ind w:left="360"/>
      </w:pPr>
      <w:r>
        <w:rPr>
          <w:rFonts w:ascii="Courier New" w:cs="Courier New" w:eastAsia="Courier New" w:hAnsi="Courier New"/>
          <w:color w:val="333333"/>
          <w:sz w:val="18"/>
          <w:szCs w:val="18"/>
        </w:rPr>
        <w:t xml:space="preserve">// Registro de suscriptores al iniciar ParkingLotApp</w:t>
      </w:r>
    </w:p>
    <w:p>
      <w:pPr>
        <w:shd w:fill="F5F5F5" w:val="clear"/>
        <w:spacing w:after="40" w:before="40"/>
        <w:ind w:left="360"/>
      </w:pPr>
      <w:r>
        <w:rPr>
          <w:rFonts w:ascii="Courier New" w:cs="Courier New" w:eastAsia="Courier New" w:hAnsi="Courier New"/>
          <w:color w:val="333333"/>
          <w:sz w:val="18"/>
          <w:szCs w:val="18"/>
        </w:rPr>
        <w:t xml:space="preserve">_events.Subscribe&lt;SensorReadingReceived&gt;(sensorUseCase.Handle);</w:t>
      </w:r>
    </w:p>
    <w:p>
      <w:pPr>
        <w:shd w:fill="F5F5F5" w:val="clear"/>
        <w:spacing w:after="40" w:before="40"/>
        <w:ind w:left="360"/>
      </w:pPr>
      <w:r>
        <w:rPr>
          <w:rFonts w:ascii="Courier New" w:cs="Courier New" w:eastAsia="Courier New" w:hAnsi="Courier New"/>
          <w:color w:val="333333"/>
          <w:sz w:val="18"/>
          <w:szCs w:val="18"/>
        </w:rPr>
        <w:t xml:space="preserve">_events.Subscribe&lt;SensorReadingReceived&gt;(gateSensorHandler.HandleAsync);</w:t>
      </w:r>
    </w:p>
    <w:p>
      <w:pPr>
        <w:shd w:fill="F5F5F5" w:val="clear"/>
        <w:spacing w:after="40" w:before="40"/>
        <w:ind w:left="360"/>
      </w:pPr>
      <w:r>
        <w:rPr>
          <w:rFonts w:ascii="Courier New" w:cs="Courier New" w:eastAsia="Courier New" w:hAnsi="Courier New"/>
          <w:color w:val="333333"/>
          <w:sz w:val="18"/>
          <w:szCs w:val="18"/>
        </w:rPr>
        <w:t xml:space="preserve">_events.Subscribe&lt;SpotOccupancyChanged&gt;(spotHandler.Handle);</w:t>
      </w:r>
    </w:p>
    <w:p>
      <w:pPr>
        <w:shd w:fill="F5F5F5" w:val="clear"/>
        <w:spacing w:after="40" w:before="40"/>
        <w:ind w:left="360"/>
      </w:pPr>
      <w:r>
        <w:rPr>
          <w:rFonts w:ascii="Courier New" w:cs="Courier New" w:eastAsia="Courier New" w:hAnsi="Courier New"/>
          <w:color w:val="333333"/>
          <w:sz w:val="18"/>
          <w:szCs w:val="18"/>
        </w:rPr>
        <w:t xml:space="preserve">_events.Subscribe&lt;SpotOccupancyChanged&gt;(lcdHandler.Handle);</w:t>
      </w:r>
    </w:p>
    <w:p>
      <w:pPr>
        <w:spacing w:after="60" w:before="60"/>
      </w:pPr>
      <w:r>
        <w:t xml:space="preserve"/>
      </w:r>
    </w:p>
    <w:p>
      <w:pPr>
        <w:pStyle w:val="Heading1"/>
        <w:spacing w:after="160" w:before="320"/>
      </w:pPr>
      <w:r>
        <w:rPr>
          <w:rFonts w:ascii="Arial" w:cs="Arial" w:eastAsia="Arial" w:hAnsi="Arial"/>
          <w:b/>
          <w:bCs/>
          <w:color w:val="1F3864"/>
          <w:sz w:val="32"/>
          <w:szCs w:val="32"/>
        </w:rPr>
        <w:t xml:space="preserve">5. Flujo de Ejecución</w:t>
      </w:r>
    </w:p>
    <w:p>
      <w:pPr>
        <w:spacing w:after="100" w:before="80"/>
      </w:pPr>
      <w:r>
        <w:rPr>
          <w:rFonts w:ascii="Arial" w:cs="Arial" w:eastAsia="Arial" w:hAnsi="Arial"/>
          <w:sz w:val="22"/>
          <w:szCs w:val="22"/>
        </w:rPr>
        <w:t xml:space="preserve">El flujo completo cuando un sensor envía una lectura por el puerto serial es el siguiente:</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2200"/>
        <w:gridCol w:w="6440"/>
      </w:tblGrid>
      <w:tr>
        <w:tc>
          <w:tcPr>
            <w:tcW w:type="dxa" w:w="720"/>
            <w:tcBorders>
              <w:top w:val="single" w:color="BBBBBB" w:sz="1"/>
              <w:left w:val="single" w:color="BBBBBB" w:sz="1"/>
              <w:bottom w:val="single" w:color="BBBBBB" w:sz="1"/>
              <w:right w:val="single" w:color="BBBBBB" w:sz="1"/>
            </w:tcBorders>
            <w:shd w:fill="1F3864" w:val="clear"/>
            <w:tcMar>
              <w:top w:type="dxa" w:w="80"/>
              <w:left w:type="dxa" w:w="80"/>
              <w:bottom w:type="dxa" w:w="80"/>
              <w:right w:type="dxa" w:w="80"/>
            </w:tcMar>
          </w:tcPr>
          <w:p>
            <w:pPr>
              <w:jc w:val="center"/>
            </w:pPr>
            <w:r>
              <w:rPr>
                <w:rFonts w:ascii="Arial" w:cs="Arial" w:eastAsia="Arial" w:hAnsi="Arial"/>
                <w:b/>
                <w:bCs/>
                <w:color w:val="FFFFFF"/>
                <w:sz w:val="20"/>
                <w:szCs w:val="20"/>
              </w:rPr>
              <w:t xml:space="preserve">#</w:t>
            </w:r>
          </w:p>
        </w:tc>
        <w:tc>
          <w:tcPr>
            <w:tcW w:type="dxa" w:w="2200"/>
            <w:tcBorders>
              <w:top w:val="single" w:color="BBBBBB" w:sz="1"/>
              <w:left w:val="single" w:color="BBBBBB" w:sz="1"/>
              <w:bottom w:val="single" w:color="BBBBBB" w:sz="1"/>
              <w:right w:val="single" w:color="BBBBBB"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Actor</w:t>
            </w:r>
          </w:p>
        </w:tc>
        <w:tc>
          <w:tcPr>
            <w:tcW w:type="dxa" w:w="6440"/>
            <w:tcBorders>
              <w:top w:val="single" w:color="BBBBBB" w:sz="1"/>
              <w:left w:val="single" w:color="BBBBBB" w:sz="1"/>
              <w:bottom w:val="single" w:color="BBBBBB" w:sz="1"/>
              <w:right w:val="single" w:color="BBBBBB"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Acción</w:t>
            </w:r>
          </w:p>
        </w:tc>
      </w:tr>
      <w:tr>
        <w:tc>
          <w:tcPr>
            <w:tcW w:type="dxa" w:w="720"/>
            <w:tcBorders>
              <w:top w:val="single" w:color="BBBBBB" w:sz="1"/>
              <w:left w:val="single" w:color="BBBBBB" w:sz="1"/>
              <w:bottom w:val="single" w:color="BBBBBB" w:sz="1"/>
              <w:right w:val="single" w:color="BBBBBB" w:sz="1"/>
            </w:tcBorders>
            <w:shd w:fill="FFFFFF" w:val="clear"/>
            <w:tcMar>
              <w:top w:type="dxa" w:w="80"/>
              <w:left w:type="dxa" w:w="80"/>
              <w:bottom w:type="dxa" w:w="80"/>
              <w:right w:type="dxa" w:w="80"/>
            </w:tcMar>
          </w:tcPr>
          <w:p>
            <w:pPr>
              <w:jc w:val="center"/>
            </w:pPr>
            <w:r>
              <w:rPr>
                <w:rFonts w:ascii="Arial" w:cs="Arial" w:eastAsia="Arial" w:hAnsi="Arial"/>
                <w:b/>
                <w:bCs/>
                <w:color w:val="2E75B6"/>
                <w:sz w:val="20"/>
                <w:szCs w:val="20"/>
              </w:rPr>
              <w:t xml:space="preserve">1</w:t>
            </w:r>
          </w:p>
        </w:tc>
        <w:tc>
          <w:tcPr>
            <w:tcW w:type="dxa" w:w="2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Courier New" w:cs="Courier New" w:eastAsia="Courier New" w:hAnsi="Courier New"/>
                <w:color w:val="1F3864"/>
                <w:sz w:val="20"/>
                <w:szCs w:val="20"/>
              </w:rPr>
              <w:t xml:space="preserve">Arduino</w:t>
            </w:r>
          </w:p>
        </w:tc>
        <w:tc>
          <w:tcPr>
            <w:tcW w:type="dxa" w:w="644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Envía por serial una línea como "SPOT-A1:1" (sensor activado).</w:t>
            </w:r>
          </w:p>
        </w:tc>
      </w:tr>
      <w:tr>
        <w:tc>
          <w:tcPr>
            <w:tcW w:type="dxa" w:w="720"/>
            <w:tcBorders>
              <w:top w:val="single" w:color="BBBBBB" w:sz="1"/>
              <w:left w:val="single" w:color="BBBBBB" w:sz="1"/>
              <w:bottom w:val="single" w:color="BBBBBB" w:sz="1"/>
              <w:right w:val="single" w:color="BBBBBB" w:sz="1"/>
            </w:tcBorders>
            <w:shd w:fill="F2F2F2" w:val="clear"/>
            <w:tcMar>
              <w:top w:type="dxa" w:w="80"/>
              <w:left w:type="dxa" w:w="80"/>
              <w:bottom w:type="dxa" w:w="80"/>
              <w:right w:type="dxa" w:w="80"/>
            </w:tcMar>
          </w:tcPr>
          <w:p>
            <w:pPr>
              <w:jc w:val="center"/>
            </w:pPr>
            <w:r>
              <w:rPr>
                <w:rFonts w:ascii="Arial" w:cs="Arial" w:eastAsia="Arial" w:hAnsi="Arial"/>
                <w:b/>
                <w:bCs/>
                <w:color w:val="2E75B6"/>
                <w:sz w:val="20"/>
                <w:szCs w:val="20"/>
              </w:rPr>
              <w:t xml:space="preserve">2</w:t>
            </w:r>
          </w:p>
        </w:tc>
        <w:tc>
          <w:tcPr>
            <w:tcW w:type="dxa" w:w="22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Courier New" w:cs="Courier New" w:eastAsia="Courier New" w:hAnsi="Courier New"/>
                <w:color w:val="1F3864"/>
                <w:sz w:val="20"/>
                <w:szCs w:val="20"/>
              </w:rPr>
              <w:t xml:space="preserve">ArduinoSerialBridge</w:t>
            </w:r>
          </w:p>
        </w:tc>
        <w:tc>
          <w:tcPr>
            <w:tcW w:type="dxa" w:w="644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sz w:val="20"/>
                <w:szCs w:val="20"/>
              </w:rPr>
              <w:t xml:space="preserve">Lee la línea, parsea el sensorId y el valor crudo, crea SensorReadingReceived.</w:t>
            </w:r>
          </w:p>
        </w:tc>
      </w:tr>
      <w:tr>
        <w:tc>
          <w:tcPr>
            <w:tcW w:type="dxa" w:w="720"/>
            <w:tcBorders>
              <w:top w:val="single" w:color="BBBBBB" w:sz="1"/>
              <w:left w:val="single" w:color="BBBBBB" w:sz="1"/>
              <w:bottom w:val="single" w:color="BBBBBB" w:sz="1"/>
              <w:right w:val="single" w:color="BBBBBB" w:sz="1"/>
            </w:tcBorders>
            <w:shd w:fill="FFFFFF" w:val="clear"/>
            <w:tcMar>
              <w:top w:type="dxa" w:w="80"/>
              <w:left w:type="dxa" w:w="80"/>
              <w:bottom w:type="dxa" w:w="80"/>
              <w:right w:type="dxa" w:w="80"/>
            </w:tcMar>
          </w:tcPr>
          <w:p>
            <w:pPr>
              <w:jc w:val="center"/>
            </w:pPr>
            <w:r>
              <w:rPr>
                <w:rFonts w:ascii="Arial" w:cs="Arial" w:eastAsia="Arial" w:hAnsi="Arial"/>
                <w:b/>
                <w:bCs/>
                <w:color w:val="2E75B6"/>
                <w:sz w:val="20"/>
                <w:szCs w:val="20"/>
              </w:rPr>
              <w:t xml:space="preserve">3</w:t>
            </w:r>
          </w:p>
        </w:tc>
        <w:tc>
          <w:tcPr>
            <w:tcW w:type="dxa" w:w="2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Courier New" w:cs="Courier New" w:eastAsia="Courier New" w:hAnsi="Courier New"/>
                <w:color w:val="1F3864"/>
                <w:sz w:val="20"/>
                <w:szCs w:val="20"/>
              </w:rPr>
              <w:t xml:space="preserve">ArduinoSerialBridge</w:t>
            </w:r>
          </w:p>
        </w:tc>
        <w:tc>
          <w:tcPr>
            <w:tcW w:type="dxa" w:w="644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Llama _events.Publish(new SensorReadingReceived("SPOT-A1", "SENSOR", "1", now)).</w:t>
            </w:r>
          </w:p>
        </w:tc>
      </w:tr>
      <w:tr>
        <w:tc>
          <w:tcPr>
            <w:tcW w:type="dxa" w:w="720"/>
            <w:tcBorders>
              <w:top w:val="single" w:color="BBBBBB" w:sz="1"/>
              <w:left w:val="single" w:color="BBBBBB" w:sz="1"/>
              <w:bottom w:val="single" w:color="BBBBBB" w:sz="1"/>
              <w:right w:val="single" w:color="BBBBBB" w:sz="1"/>
            </w:tcBorders>
            <w:shd w:fill="F2F2F2" w:val="clear"/>
            <w:tcMar>
              <w:top w:type="dxa" w:w="80"/>
              <w:left w:type="dxa" w:w="80"/>
              <w:bottom w:type="dxa" w:w="80"/>
              <w:right w:type="dxa" w:w="80"/>
            </w:tcMar>
          </w:tcPr>
          <w:p>
            <w:pPr>
              <w:jc w:val="center"/>
            </w:pPr>
            <w:r>
              <w:rPr>
                <w:rFonts w:ascii="Arial" w:cs="Arial" w:eastAsia="Arial" w:hAnsi="Arial"/>
                <w:b/>
                <w:bCs/>
                <w:color w:val="2E75B6"/>
                <w:sz w:val="20"/>
                <w:szCs w:val="20"/>
              </w:rPr>
              <w:t xml:space="preserve">4</w:t>
            </w:r>
          </w:p>
        </w:tc>
        <w:tc>
          <w:tcPr>
            <w:tcW w:type="dxa" w:w="22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Courier New" w:cs="Courier New" w:eastAsia="Courier New" w:hAnsi="Courier New"/>
                <w:color w:val="1F3864"/>
                <w:sz w:val="20"/>
                <w:szCs w:val="20"/>
              </w:rPr>
              <w:t xml:space="preserve">InProcessEventBus</w:t>
            </w:r>
          </w:p>
        </w:tc>
        <w:tc>
          <w:tcPr>
            <w:tcW w:type="dxa" w:w="644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sz w:val="20"/>
                <w:szCs w:val="20"/>
              </w:rPr>
              <w:t xml:space="preserve">Recupera todos los suscriptores de tipo SensorReadingReceived y los notifica.</w:t>
            </w:r>
          </w:p>
        </w:tc>
      </w:tr>
      <w:tr>
        <w:tc>
          <w:tcPr>
            <w:tcW w:type="dxa" w:w="720"/>
            <w:tcBorders>
              <w:top w:val="single" w:color="BBBBBB" w:sz="1"/>
              <w:left w:val="single" w:color="BBBBBB" w:sz="1"/>
              <w:bottom w:val="single" w:color="BBBBBB" w:sz="1"/>
              <w:right w:val="single" w:color="BBBBBB" w:sz="1"/>
            </w:tcBorders>
            <w:shd w:fill="FFFFFF" w:val="clear"/>
            <w:tcMar>
              <w:top w:type="dxa" w:w="80"/>
              <w:left w:type="dxa" w:w="80"/>
              <w:bottom w:type="dxa" w:w="80"/>
              <w:right w:type="dxa" w:w="80"/>
            </w:tcMar>
          </w:tcPr>
          <w:p>
            <w:pPr>
              <w:jc w:val="center"/>
            </w:pPr>
            <w:r>
              <w:rPr>
                <w:rFonts w:ascii="Arial" w:cs="Arial" w:eastAsia="Arial" w:hAnsi="Arial"/>
                <w:b/>
                <w:bCs/>
                <w:color w:val="2E75B6"/>
                <w:sz w:val="20"/>
                <w:szCs w:val="20"/>
              </w:rPr>
              <w:t xml:space="preserve">5a</w:t>
            </w:r>
          </w:p>
        </w:tc>
        <w:tc>
          <w:tcPr>
            <w:tcW w:type="dxa" w:w="2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Courier New" w:cs="Courier New" w:eastAsia="Courier New" w:hAnsi="Courier New"/>
                <w:color w:val="1F3864"/>
                <w:sz w:val="20"/>
                <w:szCs w:val="20"/>
              </w:rPr>
              <w:t xml:space="preserve">HandleSensorReadingUseCase</w:t>
            </w:r>
          </w:p>
        </w:tc>
        <w:tc>
          <w:tcPr>
            <w:tcW w:type="dxa" w:w="644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Mapea SPOT-A1 al espacio físico y lo marca como ocupado. Dispara SpotOccupancyChanged.</w:t>
            </w:r>
          </w:p>
        </w:tc>
      </w:tr>
      <w:tr>
        <w:tc>
          <w:tcPr>
            <w:tcW w:type="dxa" w:w="720"/>
            <w:tcBorders>
              <w:top w:val="single" w:color="BBBBBB" w:sz="1"/>
              <w:left w:val="single" w:color="BBBBBB" w:sz="1"/>
              <w:bottom w:val="single" w:color="BBBBBB" w:sz="1"/>
              <w:right w:val="single" w:color="BBBBBB" w:sz="1"/>
            </w:tcBorders>
            <w:shd w:fill="F2F2F2" w:val="clear"/>
            <w:tcMar>
              <w:top w:type="dxa" w:w="80"/>
              <w:left w:type="dxa" w:w="80"/>
              <w:bottom w:type="dxa" w:w="80"/>
              <w:right w:type="dxa" w:w="80"/>
            </w:tcMar>
          </w:tcPr>
          <w:p>
            <w:pPr>
              <w:jc w:val="center"/>
            </w:pPr>
            <w:r>
              <w:rPr>
                <w:rFonts w:ascii="Arial" w:cs="Arial" w:eastAsia="Arial" w:hAnsi="Arial"/>
                <w:b/>
                <w:bCs/>
                <w:color w:val="2E75B6"/>
                <w:sz w:val="20"/>
                <w:szCs w:val="20"/>
              </w:rPr>
              <w:t xml:space="preserve">5b</w:t>
            </w:r>
          </w:p>
        </w:tc>
        <w:tc>
          <w:tcPr>
            <w:tcW w:type="dxa" w:w="22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Courier New" w:cs="Courier New" w:eastAsia="Courier New" w:hAnsi="Courier New"/>
                <w:color w:val="1F3864"/>
                <w:sz w:val="20"/>
                <w:szCs w:val="20"/>
              </w:rPr>
              <w:t xml:space="preserve">GateSensorHandler</w:t>
            </w:r>
          </w:p>
        </w:tc>
        <w:tc>
          <w:tcPr>
            <w:tcW w:type="dxa" w:w="644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sz w:val="20"/>
                <w:szCs w:val="20"/>
              </w:rPr>
              <w:t xml:space="preserve">Si SPOT-A1 es sensor de barrera: reconoce placa y crea EntryRequest/ExitRequest.</w:t>
            </w:r>
          </w:p>
        </w:tc>
      </w:tr>
      <w:tr>
        <w:tc>
          <w:tcPr>
            <w:tcW w:type="dxa" w:w="720"/>
            <w:tcBorders>
              <w:top w:val="single" w:color="BBBBBB" w:sz="1"/>
              <w:left w:val="single" w:color="BBBBBB" w:sz="1"/>
              <w:bottom w:val="single" w:color="BBBBBB" w:sz="1"/>
              <w:right w:val="single" w:color="BBBBBB" w:sz="1"/>
            </w:tcBorders>
            <w:shd w:fill="FFFFFF" w:val="clear"/>
            <w:tcMar>
              <w:top w:type="dxa" w:w="80"/>
              <w:left w:type="dxa" w:w="80"/>
              <w:bottom w:type="dxa" w:w="80"/>
              <w:right w:type="dxa" w:w="80"/>
            </w:tcMar>
          </w:tcPr>
          <w:p>
            <w:pPr>
              <w:jc w:val="center"/>
            </w:pPr>
            <w:r>
              <w:rPr>
                <w:rFonts w:ascii="Arial" w:cs="Arial" w:eastAsia="Arial" w:hAnsi="Arial"/>
                <w:b/>
                <w:bCs/>
                <w:color w:val="2E75B6"/>
                <w:sz w:val="20"/>
                <w:szCs w:val="20"/>
              </w:rPr>
              <w:t xml:space="preserve">6a</w:t>
            </w:r>
          </w:p>
        </w:tc>
        <w:tc>
          <w:tcPr>
            <w:tcW w:type="dxa" w:w="2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Courier New" w:cs="Courier New" w:eastAsia="Courier New" w:hAnsi="Courier New"/>
                <w:color w:val="1F3864"/>
                <w:sz w:val="20"/>
                <w:szCs w:val="20"/>
              </w:rPr>
              <w:t xml:space="preserve">SpotOccupancyChangedHandler</w:t>
            </w:r>
          </w:p>
        </w:tc>
        <w:tc>
          <w:tcPr>
            <w:tcW w:type="dxa" w:w="644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Al recibir SpotOccupancyChanged, envía comando al LED del espacio.</w:t>
            </w:r>
          </w:p>
        </w:tc>
      </w:tr>
      <w:tr>
        <w:tc>
          <w:tcPr>
            <w:tcW w:type="dxa" w:w="720"/>
            <w:tcBorders>
              <w:top w:val="single" w:color="BBBBBB" w:sz="1"/>
              <w:left w:val="single" w:color="BBBBBB" w:sz="1"/>
              <w:bottom w:val="single" w:color="BBBBBB" w:sz="1"/>
              <w:right w:val="single" w:color="BBBBBB" w:sz="1"/>
            </w:tcBorders>
            <w:shd w:fill="F2F2F2" w:val="clear"/>
            <w:tcMar>
              <w:top w:type="dxa" w:w="80"/>
              <w:left w:type="dxa" w:w="80"/>
              <w:bottom w:type="dxa" w:w="80"/>
              <w:right w:type="dxa" w:w="80"/>
            </w:tcMar>
          </w:tcPr>
          <w:p>
            <w:pPr>
              <w:jc w:val="center"/>
            </w:pPr>
            <w:r>
              <w:rPr>
                <w:rFonts w:ascii="Arial" w:cs="Arial" w:eastAsia="Arial" w:hAnsi="Arial"/>
                <w:b/>
                <w:bCs/>
                <w:color w:val="2E75B6"/>
                <w:sz w:val="20"/>
                <w:szCs w:val="20"/>
              </w:rPr>
              <w:t xml:space="preserve">6b</w:t>
            </w:r>
          </w:p>
        </w:tc>
        <w:tc>
          <w:tcPr>
            <w:tcW w:type="dxa" w:w="22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Courier New" w:cs="Courier New" w:eastAsia="Courier New" w:hAnsi="Courier New"/>
                <w:color w:val="1F3864"/>
                <w:sz w:val="20"/>
                <w:szCs w:val="20"/>
              </w:rPr>
              <w:t xml:space="preserve">LcdCapacityHandler</w:t>
            </w:r>
          </w:p>
        </w:tc>
        <w:tc>
          <w:tcPr>
            <w:tcW w:type="dxa" w:w="644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sz w:val="20"/>
                <w:szCs w:val="20"/>
              </w:rPr>
              <w:t xml:space="preserve">Al recibir SpotOccupancyChanged, actualiza el contador en la pantalla LCD.</w:t>
            </w:r>
          </w:p>
        </w:tc>
      </w:tr>
    </w:tbl>
    <w:p>
      <w:pPr>
        <w:spacing w:after="60" w:before="60"/>
      </w:pPr>
      <w:r>
        <w:t xml:space="preserve"/>
      </w:r>
    </w:p>
    <w:p>
      <w:pPr>
        <w:pStyle w:val="Heading1"/>
        <w:spacing w:after="160" w:before="320"/>
      </w:pPr>
      <w:r>
        <w:rPr>
          <w:rFonts w:ascii="Arial" w:cs="Arial" w:eastAsia="Arial" w:hAnsi="Arial"/>
          <w:b/>
          <w:bCs/>
          <w:color w:val="1F3864"/>
          <w:sz w:val="32"/>
          <w:szCs w:val="32"/>
        </w:rPr>
        <w:t xml:space="preserve">6. Beneficios Obtenidos en el Proyecto</w:t>
      </w:r>
    </w:p>
    <w:p>
      <w:pPr>
        <w:pStyle w:val="ListParagraph"/>
        <w:numPr>
          <w:ilvl w:val="0"/>
          <w:numId w:val="2"/>
        </w:numPr>
        <w:spacing w:after="40" w:before="40"/>
      </w:pPr>
      <w:r>
        <w:rPr>
          <w:rFonts w:ascii="Arial" w:cs="Arial" w:eastAsia="Arial" w:hAnsi="Arial"/>
          <w:sz w:val="22"/>
          <w:szCs w:val="22"/>
        </w:rPr>
        <w:t xml:space="preserve">Desacoplamiento total: ArduinoSerialBridge no sabe que HandleSensorReadingUseCase, GateSensorHandler o LcdCapacityHandler existen.</w:t>
      </w:r>
    </w:p>
    <w:p>
      <w:pPr>
        <w:pStyle w:val="ListParagraph"/>
        <w:numPr>
          <w:ilvl w:val="0"/>
          <w:numId w:val="2"/>
        </w:numPr>
        <w:spacing w:after="40" w:before="40"/>
      </w:pPr>
      <w:r>
        <w:rPr>
          <w:rFonts w:ascii="Arial" w:cs="Arial" w:eastAsia="Arial" w:hAnsi="Arial"/>
          <w:sz w:val="22"/>
          <w:szCs w:val="22"/>
        </w:rPr>
        <w:t xml:space="preserve">Extensibilidad: agregar un nuevo comportamiento (por ejemplo, enviar una alerta SMS) sólo requiere suscribir un nuevo handler; el resto del sistema no cambia.</w:t>
      </w:r>
    </w:p>
    <w:p>
      <w:pPr>
        <w:pStyle w:val="ListParagraph"/>
        <w:numPr>
          <w:ilvl w:val="0"/>
          <w:numId w:val="2"/>
        </w:numPr>
        <w:spacing w:after="40" w:before="40"/>
      </w:pPr>
      <w:r>
        <w:rPr>
          <w:rFonts w:ascii="Arial" w:cs="Arial" w:eastAsia="Arial" w:hAnsi="Arial"/>
          <w:sz w:val="22"/>
          <w:szCs w:val="22"/>
        </w:rPr>
        <w:t xml:space="preserve">Múltiples reacciones a un evento: un solo sensor activado dispara simultáneamente la actualización de ocupación, el control de la barrera y la pantalla LCD.</w:t>
      </w:r>
    </w:p>
    <w:p>
      <w:pPr>
        <w:pStyle w:val="ListParagraph"/>
        <w:numPr>
          <w:ilvl w:val="0"/>
          <w:numId w:val="2"/>
        </w:numPr>
        <w:spacing w:after="40" w:before="40"/>
      </w:pPr>
      <w:r>
        <w:rPr>
          <w:rFonts w:ascii="Arial" w:cs="Arial" w:eastAsia="Arial" w:hAnsi="Arial"/>
          <w:sz w:val="22"/>
          <w:szCs w:val="22"/>
        </w:rPr>
        <w:t xml:space="preserve">Thread safety: InProcessEventBus usa ConcurrentDictionary y bloqueo de snapshot para evitar race conditions al notificar.</w:t>
      </w:r>
    </w:p>
    <w:p>
      <w:pPr>
        <w:pStyle w:val="ListParagraph"/>
        <w:numPr>
          <w:ilvl w:val="0"/>
          <w:numId w:val="2"/>
        </w:numPr>
        <w:spacing w:after="40" w:before="40"/>
      </w:pPr>
      <w:r>
        <w:rPr>
          <w:rFonts w:ascii="Arial" w:cs="Arial" w:eastAsia="Arial" w:hAnsi="Arial"/>
          <w:sz w:val="22"/>
          <w:szCs w:val="22"/>
        </w:rPr>
        <w:t xml:space="preserve">Testabilidad: cada handler puede probarse de forma aislada publicando eventos sintéticos en el bus.</w:t>
      </w:r>
    </w:p>
    <w:p>
      <w:pPr>
        <w:spacing w:after="60" w:before="60"/>
      </w:pPr>
      <w:r>
        <w:t xml:space="preserve"/>
      </w:r>
    </w:p>
    <w:p>
      <w:pPr>
        <w:pStyle w:val="Heading1"/>
        <w:spacing w:after="160" w:before="320"/>
      </w:pPr>
      <w:r>
        <w:rPr>
          <w:rFonts w:ascii="Arial" w:cs="Arial" w:eastAsia="Arial" w:hAnsi="Arial"/>
          <w:b/>
          <w:bCs/>
          <w:color w:val="1F3864"/>
          <w:sz w:val="32"/>
          <w:szCs w:val="32"/>
        </w:rPr>
        <w:t xml:space="preserve">7. Conclusión</w:t>
      </w:r>
    </w:p>
    <w:p>
      <w:pPr>
        <w:spacing w:after="100" w:before="80"/>
      </w:pPr>
      <w:r>
        <w:rPr>
          <w:rFonts w:ascii="Arial" w:cs="Arial" w:eastAsia="Arial" w:hAnsi="Arial"/>
          <w:sz w:val="22"/>
          <w:szCs w:val="22"/>
        </w:rPr>
        <w:t xml:space="preserve">La implementación del patrón Observer a través de IEventPublisher e InProcessEventBus convierte al Smart Parking Lot en un sistema verdaderamente reactivo. Cada lectura de sensor se propaga como un evento tipado a través del bus, y los distintos módulos de la aplicación (lógica de negocio, hardware, interfaz) reaccionan de forma independiente y desacoplada. Este diseño garantiza que el sistema pueda crecer en funcionalidades sin afectar el código existente, cumpliendo con el Principio Abierto/Cerrado y estableciendo una base sólida para una futura arquitectura basada en eventos.</w:t>
      </w:r>
    </w:p>
    <w:sectPr>
      <w:headerReference w:type="default" r:id="rId7"/>
      <w:footerReference w:type="default" r:id="rId8"/>
      <w:pgSz w:w="12240" w:h="15840" w:orient="portrait"/>
      <w:pgMar w:top="1440" w:right="1260" w:bottom="144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6"/>
      </w:pBdr>
      <w:tabs>
        <w:tab w:val="right" w:pos="9360"/>
      </w:tabs>
    </w:pPr>
    <w:r>
      <w:rPr>
        <w:rFonts w:ascii="Arial" w:cs="Arial" w:eastAsia="Arial" w:hAnsi="Arial"/>
        <w:color w:val="888888"/>
        <w:sz w:val="16"/>
        <w:szCs w:val="16"/>
      </w:rPr>
      <w:t xml:space="preserve">Universidad de los Llanos  –  Ingeniería de Sistemas</w:t>
    </w:r>
    <w:r>
      <w:rPr>
        <w:rFonts w:ascii="Arial" w:cs="Arial" w:eastAsia="Arial" w:hAnsi="Arial"/>
        <w:color w:val="888888"/>
        <w:sz w:val="16"/>
        <w:szCs w:val="16"/>
      </w:rPr>
      <w:t xml:space="preserve">	Página </w:t>
    </w:r>
    <w:r>
      <w:rPr>
        <w:rFonts w:ascii="Arial" w:cs="Arial" w:eastAsia="Arial" w:hAnsi="Arial"/>
        <w:color w:val="888888"/>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6"/>
      </w:pBdr>
      <w:tabs>
        <w:tab w:val="right" w:pos="9360"/>
      </w:tabs>
    </w:pPr>
    <w:r>
      <w:rPr>
        <w:rFonts w:ascii="Arial" w:cs="Arial" w:eastAsia="Arial" w:hAnsi="Arial"/>
        <w:color w:val="666666"/>
        <w:sz w:val="18"/>
        <w:szCs w:val="18"/>
      </w:rPr>
      <w:t xml:space="preserve">T1.2 – Patrón Observer  |  Smart Parking Lot</w:t>
    </w:r>
    <w:r>
      <w:rPr>
        <w:rFonts w:ascii="Arial" w:cs="Arial" w:eastAsia="Arial" w:hAnsi="Arial"/>
        <w:color w:val="666666"/>
        <w:sz w:val="18"/>
        <w:szCs w:val="18"/>
      </w:rPr>
      <w:t xml:space="preserve">	Lab – Design Patterns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outlineLvl w:val="0"/>
    </w:pPr>
    <w:rPr>
      <w:rFonts w:ascii="Arial" w:cs="Arial" w:eastAsia="Arial" w:hAnsi="Arial"/>
      <w:b/>
      <w:bCs/>
      <w:color w:val="1F3864"/>
      <w:sz w:val="32"/>
      <w:szCs w:val="32"/>
    </w:rPr>
  </w:style>
  <w:style w:type="paragraph" w:styleId="Heading2">
    <w:name w:val="Heading 2"/>
    <w:basedOn w:val="Normal"/>
    <w:next w:val="Normal"/>
    <w:qFormat/>
    <w:pPr>
      <w:spacing w:after="120" w:before="240"/>
      <w:outlineLvl w:val="1"/>
    </w:pPr>
    <w:rPr>
      <w:rFonts w:ascii="Arial" w:cs="Arial" w:eastAsia="Arial" w:hAnsi="Arial"/>
      <w:b/>
      <w:bCs/>
      <w:color w:val="2E75B6"/>
      <w:sz w:val="26"/>
      <w:szCs w:val="26"/>
    </w:rPr>
  </w:style>
  <w:style w:type="paragraph" w:styleId="Heading3">
    <w:name w:val="Heading 3"/>
    <w:basedOn w:val="Normal"/>
    <w:next w:val="Normal"/>
    <w:qFormat/>
    <w:pPr>
      <w:spacing w:after="80" w:before="180"/>
      <w:outlineLvl w:val="2"/>
    </w:pPr>
    <w:rPr>
      <w:rFonts w:ascii="Arial" w:cs="Arial" w:eastAsia="Arial" w:hAnsi="Arial"/>
      <w:b/>
      <w:bCs/>
      <w:color w:val="40404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2026-05-11T21:30:32.389Z</dcterms:created>
  <dcterms:modified xsi:type="dcterms:W3CDTF">2026-05-11T21:30:32.390Z</dcterms:modified>
</cp:coreProperties>
</file>

<file path=docProps/custom.xml><?xml version="1.0" encoding="utf-8"?>
<Properties xmlns="http://schemas.openxmlformats.org/officeDocument/2006/custom-properties" xmlns:vt="http://schemas.openxmlformats.org/officeDocument/2006/docPropsVTypes"/>
</file>