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PRESTACIÓN DE SERVICIOS DE DESARROLLO DE SOFTWARE A MEDIDA Y CESIÓN DE DERECHOS PATRIMONIALES</w:t>
      </w:r>
    </w:p>
    <w:p>
      <w:pPr>
        <w:pStyle w:val="Subtitle"/>
      </w:pPr>
      <w:r>
        <w:t>Control de Servicios R360</w:t>
      </w:r>
    </w:p>
    <w:p>
      <w:pPr/>
      <w:r>
        <w:rPr>
          <w:b/>
        </w:rPr>
        <w:t>BORRADOR PARA REVISIÓN · Versión 5</w:t>
      </w:r>
    </w:p>
    <w:p>
      <w:pPr/>
      <w:r>
        <w:t>DOCUMENTO PARA REVISIÓN</w:t>
      </w:r>
    </w:p>
    <w:p>
      <w:pPr/>
      <w:r>
        <w:t>Esta versión se presenta para revisión de LAS PARTES y no acredita firma ni aceptación. Los campos de identificación se completarán para la versión de firma. El Anexo D distingue las condiciones pendientes de acuerdo de las especificaciones operativas que se definirán durante el proyecto en los plazos previstos. Las propuestas de cláusulas jurídicas, incluidos plazo de cesión y mecanismos de terminación, quedan sujetas a revisión y aceptación expresa.</w:t>
      </w:r>
    </w:p>
    <w:p>
      <w:r>
        <w:br w:type="page"/>
      </w:r>
    </w:p>
    <w:p>
      <w:pPr>
        <w:pStyle w:val="Heading1"/>
      </w:pPr>
      <w:r>
        <w:t>1. PARTES Y DATOS DEL CONTRATO</w:t>
      </w:r>
    </w:p>
    <w:p>
      <w:pPr/>
      <w:r>
        <w:t>Celebran este contrato, por una parte, Eric [NOMBRE LEGAL COMPLETO POR CONFIRMAR], en adelante «EL CLIENTE» y, por otra, Roberto Alejandro Guzmán Winzig, persona física que actúa por su propio derecho, en adelante «EL PRESTADOR», conjuntamente «LAS PARTES», conforme a las declaraciones, cláusulas y anexos siguientes.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pPr>
              <w:spacing w:after="80"/>
            </w:pPr>
            <w:r>
              <w:rPr>
                <w:sz w:val="18"/>
              </w:rPr>
              <w:t>Dato</w:t>
            </w:r>
          </w:p>
        </w:tc>
        <w:tc>
          <w:tcPr>
            <w:tcW w:type="dxa" w:w="3312"/>
          </w:tcPr>
          <w:p>
            <w:pPr>
              <w:spacing w:after="80"/>
            </w:pPr>
            <w:r>
              <w:rPr>
                <w:sz w:val="18"/>
              </w:rPr>
              <w:t>EL CLIENTE</w:t>
            </w:r>
          </w:p>
        </w:tc>
        <w:tc>
          <w:tcPr>
            <w:tcW w:type="dxa" w:w="3312"/>
          </w:tcPr>
          <w:p>
            <w:pPr>
              <w:spacing w:after="80"/>
            </w:pPr>
            <w:r>
              <w:rPr>
                <w:sz w:val="18"/>
              </w:rPr>
              <w:t>EL PRESTADOR</w:t>
            </w:r>
          </w:p>
        </w:tc>
      </w:tr>
      <w:tr>
        <w:tc>
          <w:tcPr>
            <w:tcW w:type="dxa" w:w="3312"/>
          </w:tcPr>
          <w:p>
            <w:pPr>
              <w:spacing w:after="80"/>
            </w:pPr>
            <w:r>
              <w:rPr>
                <w:sz w:val="18"/>
              </w:rPr>
              <w:t>Nombre o razón social</w:t>
            </w:r>
          </w:p>
        </w:tc>
        <w:tc>
          <w:tcPr>
            <w:tcW w:type="dxa" w:w="3312"/>
          </w:tcPr>
          <w:p>
            <w:pPr>
              <w:spacing w:after="80"/>
            </w:pPr>
            <w:r>
              <w:rPr>
                <w:sz w:val="18"/>
              </w:rPr>
              <w:t>Eric [NOMBRE LEGAL COMPLETO POR CONFIRMAR]</w:t>
            </w:r>
          </w:p>
        </w:tc>
        <w:tc>
          <w:tcPr>
            <w:tcW w:type="dxa" w:w="3312"/>
          </w:tcPr>
          <w:p>
            <w:pPr>
              <w:spacing w:after="80"/>
            </w:pPr>
            <w:r>
              <w:rPr>
                <w:sz w:val="18"/>
              </w:rPr>
              <w:t>Roberto Alejandro Guzmán Winzig</w:t>
            </w:r>
          </w:p>
        </w:tc>
      </w:tr>
      <w:tr>
        <w:tc>
          <w:tcPr>
            <w:tcW w:type="dxa" w:w="3312"/>
          </w:tcPr>
          <w:p>
            <w:pPr>
              <w:spacing w:after="80"/>
            </w:pPr>
            <w:r>
              <w:rPr>
                <w:sz w:val="18"/>
              </w:rPr>
              <w:t>Carácter de contratación</w:t>
            </w:r>
          </w:p>
        </w:tc>
        <w:tc>
          <w:tcPr>
            <w:tcW w:type="dxa" w:w="3312"/>
          </w:tcPr>
          <w:p>
            <w:pPr>
              <w:spacing w:after="80"/>
            </w:pPr>
            <w:r>
              <w:rPr>
                <w:sz w:val="18"/>
              </w:rPr>
              <w:t>[POR PROPIO DERECHO / REPRESENTACIÓN POR CONFIRMAR]</w:t>
            </w:r>
          </w:p>
        </w:tc>
        <w:tc>
          <w:tcPr>
            <w:tcW w:type="dxa" w:w="3312"/>
          </w:tcPr>
          <w:p>
            <w:pPr>
              <w:spacing w:after="80"/>
            </w:pPr>
            <w:r>
              <w:rPr>
                <w:sz w:val="18"/>
              </w:rPr>
              <w:t>Persona física, por propio derecho</w:t>
            </w:r>
          </w:p>
        </w:tc>
      </w:tr>
      <w:tr>
        <w:tc>
          <w:tcPr>
            <w:tcW w:type="dxa" w:w="3312"/>
          </w:tcPr>
          <w:p>
            <w:pPr>
              <w:spacing w:after="80"/>
            </w:pPr>
            <w:r>
              <w:rPr>
                <w:sz w:val="18"/>
              </w:rPr>
              <w:t>RFC</w:t>
            </w:r>
          </w:p>
        </w:tc>
        <w:tc>
          <w:tcPr>
            <w:tcW w:type="dxa" w:w="3312"/>
          </w:tcPr>
          <w:p>
            <w:pPr>
              <w:spacing w:after="80"/>
            </w:pPr>
            <w:r>
              <w:rPr>
                <w:sz w:val="18"/>
              </w:rPr>
              <w:t>[POR COMPLETAR]</w:t>
            </w:r>
          </w:p>
        </w:tc>
        <w:tc>
          <w:tcPr>
            <w:tcW w:type="dxa" w:w="3312"/>
          </w:tcPr>
          <w:p>
            <w:pPr>
              <w:spacing w:after="80"/>
            </w:pPr>
            <w:r>
              <w:rPr>
                <w:sz w:val="18"/>
              </w:rPr>
              <w:t>[POR COMPLETAR]</w:t>
            </w:r>
          </w:p>
        </w:tc>
      </w:tr>
      <w:tr>
        <w:tc>
          <w:tcPr>
            <w:tcW w:type="dxa" w:w="3312"/>
          </w:tcPr>
          <w:p>
            <w:pPr>
              <w:spacing w:after="80"/>
            </w:pPr>
            <w:r>
              <w:rPr>
                <w:sz w:val="18"/>
              </w:rPr>
              <w:t>Domicilio fiscal y para avisos</w:t>
            </w:r>
          </w:p>
        </w:tc>
        <w:tc>
          <w:tcPr>
            <w:tcW w:type="dxa" w:w="3312"/>
          </w:tcPr>
          <w:p>
            <w:pPr>
              <w:spacing w:after="80"/>
            </w:pPr>
            <w:r>
              <w:rPr>
                <w:sz w:val="18"/>
              </w:rPr>
              <w:t>[POR COMPLETAR]</w:t>
            </w:r>
          </w:p>
        </w:tc>
        <w:tc>
          <w:tcPr>
            <w:tcW w:type="dxa" w:w="3312"/>
          </w:tcPr>
          <w:p>
            <w:pPr>
              <w:spacing w:after="80"/>
            </w:pPr>
            <w:r>
              <w:rPr>
                <w:sz w:val="18"/>
              </w:rPr>
              <w:t>[POR COMPLETAR]</w:t>
            </w:r>
          </w:p>
        </w:tc>
      </w:tr>
      <w:tr>
        <w:tc>
          <w:tcPr>
            <w:tcW w:type="dxa" w:w="3312"/>
          </w:tcPr>
          <w:p>
            <w:pPr>
              <w:spacing w:after="80"/>
            </w:pPr>
            <w:r>
              <w:rPr>
                <w:sz w:val="18"/>
              </w:rPr>
              <w:t>Representante y cargo, si aplica</w:t>
            </w:r>
          </w:p>
        </w:tc>
        <w:tc>
          <w:tcPr>
            <w:tcW w:type="dxa" w:w="3312"/>
          </w:tcPr>
          <w:p>
            <w:pPr>
              <w:spacing w:after="80"/>
            </w:pPr>
            <w:r>
              <w:rPr>
                <w:sz w:val="18"/>
              </w:rPr>
              <w:t>[POR COMPLETAR]</w:t>
            </w:r>
          </w:p>
        </w:tc>
        <w:tc>
          <w:tcPr>
            <w:tcW w:type="dxa" w:w="3312"/>
          </w:tcPr>
          <w:p>
            <w:pPr>
              <w:spacing w:after="80"/>
            </w:pPr>
            <w:r>
              <w:rPr>
                <w:sz w:val="18"/>
              </w:rPr>
              <w:t>No aplica; firma por propio derecho</w:t>
            </w:r>
          </w:p>
        </w:tc>
      </w:tr>
      <w:tr>
        <w:tc>
          <w:tcPr>
            <w:tcW w:type="dxa" w:w="3312"/>
          </w:tcPr>
          <w:p>
            <w:pPr>
              <w:spacing w:after="80"/>
            </w:pPr>
            <w:r>
              <w:rPr>
                <w:sz w:val="18"/>
              </w:rPr>
              <w:t>Instrumento de constitución y poderes, si aplica</w:t>
            </w:r>
          </w:p>
        </w:tc>
        <w:tc>
          <w:tcPr>
            <w:tcW w:type="dxa" w:w="3312"/>
          </w:tcPr>
          <w:p>
            <w:pPr>
              <w:spacing w:after="80"/>
            </w:pPr>
            <w:r>
              <w:rPr>
                <w:sz w:val="18"/>
              </w:rPr>
              <w:t>[POR COMPLETAR / NO APLICA]</w:t>
            </w:r>
          </w:p>
        </w:tc>
        <w:tc>
          <w:tcPr>
            <w:tcW w:type="dxa" w:w="3312"/>
          </w:tcPr>
          <w:p>
            <w:pPr>
              <w:spacing w:after="80"/>
            </w:pPr>
            <w:r>
              <w:rPr>
                <w:sz w:val="18"/>
              </w:rPr>
              <w:t>No aplica</w:t>
            </w:r>
          </w:p>
        </w:tc>
      </w:tr>
      <w:tr>
        <w:tc>
          <w:tcPr>
            <w:tcW w:type="dxa" w:w="3312"/>
          </w:tcPr>
          <w:p>
            <w:pPr>
              <w:spacing w:after="80"/>
            </w:pPr>
            <w:r>
              <w:rPr>
                <w:sz w:val="18"/>
              </w:rPr>
              <w:t>Correo para notificaciones contractuales</w:t>
            </w:r>
          </w:p>
        </w:tc>
        <w:tc>
          <w:tcPr>
            <w:tcW w:type="dxa" w:w="3312"/>
          </w:tcPr>
          <w:p>
            <w:pPr>
              <w:spacing w:after="80"/>
            </w:pPr>
            <w:r>
              <w:rPr>
                <w:sz w:val="18"/>
              </w:rPr>
              <w:t>[POR COMPLETAR]</w:t>
            </w:r>
          </w:p>
        </w:tc>
        <w:tc>
          <w:tcPr>
            <w:tcW w:type="dxa" w:w="3312"/>
          </w:tcPr>
          <w:p>
            <w:pPr>
              <w:spacing w:after="80"/>
            </w:pPr>
            <w:r>
              <w:rPr>
                <w:sz w:val="18"/>
              </w:rPr>
              <w:t>[POR COMPLETAR]</w:t>
            </w:r>
          </w:p>
        </w:tc>
      </w:tr>
      <w:tr>
        <w:tc>
          <w:tcPr>
            <w:tcW w:type="dxa" w:w="3312"/>
          </w:tcPr>
          <w:p>
            <w:pPr>
              <w:spacing w:after="80"/>
            </w:pPr>
            <w:r>
              <w:rPr>
                <w:sz w:val="18"/>
              </w:rPr>
              <w:t>Responsable del proyecto y correo</w:t>
            </w:r>
          </w:p>
        </w:tc>
        <w:tc>
          <w:tcPr>
            <w:tcW w:type="dxa" w:w="3312"/>
          </w:tcPr>
          <w:p>
            <w:pPr>
              <w:spacing w:after="80"/>
            </w:pPr>
            <w:r>
              <w:rPr>
                <w:sz w:val="18"/>
              </w:rPr>
              <w:t>[POR COMPLETAR]</w:t>
            </w:r>
          </w:p>
        </w:tc>
        <w:tc>
          <w:tcPr>
            <w:tcW w:type="dxa" w:w="3312"/>
          </w:tcPr>
          <w:p>
            <w:pPr>
              <w:spacing w:after="80"/>
            </w:pPr>
            <w:r>
              <w:rPr>
                <w:sz w:val="18"/>
              </w:rPr>
              <w:t>[POR COMPLETAR]</w:t>
            </w:r>
          </w:p>
        </w:tc>
      </w:tr>
    </w:tbl>
    <w:p/>
    <w:p>
      <w:pPr/>
      <w:r>
        <w:t>R360 es la denominación del proyecto y no se presume que sea una persona jurídica. La propuesta está dirigida a Eric Fabián Muñoz, socio director; esa mención no acredita por sí sola quién contrata ni sus facultades. El titular de la cesión será [ERIC FABIÁN MUÑOZ / ENTIDAD DESIGNADA, IDENTIFICACIÓN COMPLETA: POR COMPLETAR], denominado «EL CESIONARIO». Si es distinto de EL CLIENTE, firmará la aceptación de la cesión y se documentará la designación por escrito.</w:t>
      </w:r>
    </w:p>
    <w:p>
      <w:pPr/>
      <w:r>
        <w:t>Lugar de celebración y cumplimiento: Naucalpan de Juárez, Estado de México, México. Fecha de firma: [DÍA/MES/AÑO]. Si la firma ocurre después de la vigencia de la propuesta, la firma de ambas partes ratificará expresamente el precio y las condiciones incorporadas en este contrato.</w:t>
      </w:r>
    </w:p>
    <w:p>
      <w:pPr>
        <w:pStyle w:val="Heading1"/>
      </w:pPr>
      <w:r>
        <w:t>2. DECLARACIONES</w:t>
      </w:r>
    </w:p>
    <w:p>
      <w:pPr/>
      <w:r>
        <w:t>2.1. Cada parte declara tener capacidad legal para obligarse y, cuando actúe mediante representante, contar con facultades vigentes y suficientes. Entregará a la otra los datos fiscales y los documentos de identificación y representación necesarios, por medios seguros.</w:t>
      </w:r>
    </w:p>
    <w:p>
      <w:pPr/>
      <w:r>
        <w:t>2.2. EL CLIENTE requiere una plataforma propia para centralizar servicios, clientes, expedientes, responsables, documentos, actividades y control operativo; designará a las personas facultadas para definir y validar sus procesos y aportará información y accesos que pueda utilizar lícitamente.</w:t>
      </w:r>
    </w:p>
    <w:p>
      <w:pPr/>
      <w:r>
        <w:t>2.3. EL PRESTADOR declara contar con conocimientos, personal y capacidad de entrega suficientes para el alcance y calendario contratados. La firma implica que ha confirmado dicha capacidad antes de contratar. Conservará la responsabilidad por las personas que utilice y por la calidad de su trabajo.</w:t>
      </w:r>
    </w:p>
    <w:p>
      <w:pPr/>
      <w:r>
        <w:t>2.4. LAS PARTES reconocen como antecedente comercial la cotización COT-R360-20261017-15, base comercial de 17 de octubre de 2026, en su revisión funcional actualizada para este cierre, integrada como documento de referencia. El presente contrato y sus anexos firmados constituyen el acuerdo vinculante. Otros documentos únicamente se incorporarán mediante acuerdo escrito de LAS PARTES.</w:t>
      </w:r>
    </w:p>
    <w:p>
      <w:pPr>
        <w:pStyle w:val="Heading1"/>
      </w:pPr>
      <w:r>
        <w:t>3. OBJETO, DOCUMENTOS Y DEFINICIONES</w:t>
      </w:r>
    </w:p>
    <w:p>
      <w:pPr/>
      <w:r>
        <w:t>3.1. EL PRESTADOR diseñará, desarrollará, configurará, probará, desplegará y documentará Control de Servicios R360, capacitará a sus usuarios y entregará los resultados y derechos contratados. EL CLIENTE pagará el precio y colaborará en los términos convenidos.</w:t>
      </w:r>
    </w:p>
    <w:p>
      <w:pPr/>
      <w:r>
        <w:t>3.2. Integran este contrato: Anexo A, alcance y entregables; Anexo B, calendario, pagos y aceptación; Anexo C, tratamiento y seguridad de información; Anexo D, registro de definiciones y pendientes; y Anexo E, formatos de control. Todos deberán rubricarse o identificarse expresamente en la firma electrónica.</w:t>
      </w:r>
    </w:p>
    <w:p>
      <w:pPr/>
      <w:r>
        <w:t>3.3. Una modificación firmada posterior prevalecerá únicamente sobre lo que cambie de manera expresa. Para lo restante prevalecen este contrato y sus anexos sobre la cotización. Ningún acta operativa podrá eliminar prestaciones cotizadas, aumentar el precio, ceder derechos o imponer penalizaciones sin autorización contractual expresa de representantes facultados.</w:t>
      </w:r>
    </w:p>
    <w:p>
      <w:pPr/>
      <w:r>
        <w:t>3.4. «Defecto» es una diferencia reproducible respecto del alcance o de los criterios aprobados; «cambio» es una modificación o ampliación de ese alcance. «Falla crítica» es la que impide un recorrido esencial sin alternativa razonable, ocasiona pérdida o corrupción relevante de datos, acceso no autorizado o vulneración de la separación entre clientes. «Entrega» es la puesta a disposición verificable de un resultado; «aceptación» es su conformidad expresa y escrita tras la revisión acordada.</w:t>
      </w:r>
    </w:p>
    <w:p>
      <w:pPr/>
      <w:r>
        <w:t>3.5. Los días naturales incluyen todos los días del calendario. Los días hábiles serán de lunes a viernes, excepto descansos obligatorios aplicables en México. Los avisos se regirán por la hora de Naucalpan de Juárez, Estado de México (zona America/Mexico_City). Los meses de ejecución son periodos mensuales sucesivos desde el arranque; cuando no exista el mismo día en el mes siguiente, el periodo vencerá el último día de ese mes.</w:t>
      </w:r>
    </w:p>
    <w:p>
      <w:pPr>
        <w:pStyle w:val="Heading1"/>
      </w:pPr>
      <w:r>
        <w:t>4. ALCANCE Y LÍMITES</w:t>
      </w:r>
    </w:p>
    <w:p>
      <w:pPr/>
      <w:r>
        <w:t>4.1. El alcance obligatorio es el descrito en el Anexo A. La plataforma será una aplicación web progresiva (PWA), instalable, accesible en computadoras y dispositivos móviles, modular y multicliente, con información segregada por cuenta y configuraciones particulares sin modificar el núcleo común.</w:t>
      </w:r>
    </w:p>
    <w:p>
      <w:pPr/>
      <w:r>
        <w:t>4.2. EL CLIENTE tendrá autonomía para administrar cuentas, usuarios, permisos, información y operación. Se definirán los dispositivos, formatos, tamaños, reglas y recorridos soportados sin reducir las funciones expresamente contratadas. La aplicación requiere internet; no se contrata funcionamiento sin conexión.</w:t>
      </w:r>
    </w:p>
    <w:p>
      <w:pPr/>
      <w:r>
        <w:t>4.3. No se incluyen funciones de inteligencia artificial, transferencia de dinero, emisión de CFDI por la plataforma ni garantías de resultado jurídico. La Asesoría Telefónica incluida en el portafolio consiste en la administración del servicio profesional. Se incluye la importación y exportación por cliente de R360, también por lotes, con formatos y reglas definidos conforme a A.6; su especificación pendiente no la convierte en un extra por sí misma.</w:t>
      </w:r>
    </w:p>
    <w:p>
      <w:pPr/>
      <w:r>
        <w:t>4.4. Se incluyen el intercambio y las integraciones de información por cliente de R360 comprendidos en el precio. LAS PARTES identificarán por escrito los clientes y los sistemas objeto de integración, así como los recorridos cubiertos, conforme se definan durante el proyecto, sin presumir un número ilimitado de conectores futuros. Cada conexión requiere conocer el sistema externo, obtener documentación, muestras, accesos, licencias y autorizaciones válidas. La definición de un conector incluido no autoriza un nuevo cobro; cualquier ampliación real deberá justificarse y aprobarse conforme a la cláusula 10. No se presume que todos los clientes dispongan de la misma API o formato.</w:t>
      </w:r>
    </w:p>
    <w:p>
      <w:pPr/>
      <w:r>
        <w:t>4.5. EL CLIENTE presta la atención profesional, aporta contenidos, valida reglas de negocio y cubre los gastos jurídicos. El software registra y facilita la gestión de actuaciones; no sustituye decisiones profesionales ni certifica la legalidad o el éxito de los asuntos.</w:t>
      </w:r>
    </w:p>
    <w:p>
      <w:pPr>
        <w:pStyle w:val="Heading1"/>
      </w:pPr>
      <w:r>
        <w:t>5. ARRANQUE Y PLAZO</w:t>
      </w:r>
    </w:p>
    <w:p>
      <w:pPr/>
      <w:r>
        <w:t>5.1. La fecha de arranque «T0» será aquella en que se encuentren cumplidos conjuntamente: primer pago, aprobación escrita de las funciones iniciales y entrega de los accesos necesarios para iniciar. Se asentará en el acta del Anexo E, con evidencia de cumplimiento, pendientes no bloqueantes y fechas de los hitos. Ninguna parte podrá diferirla mediante requisitos no necesarios o no informados oportunamente.</w:t>
      </w:r>
    </w:p>
    <w:p>
      <w:pPr/>
      <w:r>
        <w:t>5.2. La aprobación de funciones iniciales fija la base para iniciar; la definición detallada de reglas, catálogos, recorridos y criterios se realiza durante los días 1 a 15 desde T0. Esta definición deberá respetar el alcance contratado y no reiniciar el cómputo por sí misma.</w:t>
      </w:r>
    </w:p>
    <w:p>
      <w:pPr/>
      <w:r>
        <w:t>5.3. El plazo de desarrollo es de seis meses desde T0. Dentro de los primeros 45 días naturales se habilitarán completos y utilizables Asistencia Legal Automovilística y Gestoría Vehicular. Al cierre del mes 2 deberán operar en producción y cumplir los criterios del Anexo B. Los restantes módulos se incorporarán durante los meses 3 a 6. El hito inicial no equivale a entrega de todo el portafolio.</w:t>
      </w:r>
    </w:p>
    <w:p>
      <w:pPr/>
      <w:r>
        <w:t>5.4. La vigencia del contrato inicia con la firma y continúa hasta la entrega, liquidación y cumplimiento de sus obligaciones; las garantías, confidencialidad, protección de datos, cesión y responsabilidades que por su naturaleza deban subsistir conservarán su vigencia propia.</w:t>
      </w:r>
    </w:p>
    <w:p>
      <w:pPr>
        <w:pStyle w:val="Heading1"/>
      </w:pPr>
      <w:r>
        <w:t>6. COORDINACIÓN Y COLABORACIÓN</w:t>
      </w:r>
    </w:p>
    <w:p>
      <w:pPr/>
      <w:r>
        <w:t>6.1. EL CLIENTE designará un responsable con facultades operativas de decisión y validación. Cabina, jurídico y gestoría participarán en sus recorridos. Solo representantes con facultades suficientes podrán autorizar cambios de precio, alcance contractual, plazo o derechos.</w:t>
      </w:r>
    </w:p>
    <w:p>
      <w:pPr/>
      <w:r>
        <w:t>6.2. Habrá revisiones semanales de avance y un registro escrito de decisiones, observaciones, pendientes, responsables y fechas. EL PRESTADOR informará avances demostrables, desviaciones y medidas de corrección; mantendrá identificados los riesgos y dependencias.</w:t>
      </w:r>
    </w:p>
    <w:p>
      <w:pPr/>
      <w:r>
        <w:t>6.3. EL CLIENTE entregará oportunamente catálogos, reglas, contenidos, accesos y autorizaciones necesarios, revisará los resultados y contratará los servicios externos aprobados. EL PRESTADOR solicitará cada insumo con descripción, finalidad y fecha requerida, limitándose al acceso indispensable.</w:t>
      </w:r>
    </w:p>
    <w:p>
      <w:pPr/>
      <w:r>
        <w:t>6.4. Una demora de EL CLIENTE, un tercero o una autoridad no libera automáticamente a EL PRESTADOR de sus obligaciones. Este deberá notificar el hecho, su evidencia, el impacto concreto y la mitigación posible; continuará los trabajos independientes. Los ajustes de fechas o costos requerirán acuerdo escrito y no serán automáticos.</w:t>
      </w:r>
    </w:p>
    <w:p>
      <w:pPr>
        <w:pStyle w:val="Heading1"/>
      </w:pPr>
      <w:r>
        <w:t>7. PRECIO, FACTURACIÓN Y PAGOS</w:t>
      </w:r>
    </w:p>
    <w:p>
      <w:pPr/>
      <w:r>
        <w:t>7.1. El precio fijo por el desarrollo completo, documentación, capacitación, garantía y cesión contratada es de $200,000.00 MXN más IVA del 16% por $32,000.00 MXN, total $232,000.00 MXN. No habrá incrementos automáticos. Los servicios externos y el mantenimiento opcional no forman parte de ese precio.</w:t>
      </w:r>
    </w:p>
    <w:p>
      <w:pPr/>
      <w:r>
        <w:t>7.2. EL CLIENTE pagará $35,000.00 más IVA, total $40,600.00 MXN, al inicio de cada uno de los meses 1 a 5. El primer pago constituye el pago inicial de arranque. El mes 6 se pagará por $25,000.00 más IVA, total $29,000.00 MXN, contra revisión, entrega y aceptación final expresa. El calendario detallado consta en el Anexo B.</w:t>
      </w:r>
    </w:p>
    <w:p>
      <w:pPr/>
      <w:r>
        <w:t>7.3. EL PRESTADOR emitirá el CFDI que legalmente corresponda y proporcionará por escrito datos bancarios cuyo titular coincida con el acreedor o que este haya autorizado debidamente. Los datos fiscales, uso de CFDI, método y forma de pago se completarán por los canales de facturación de LAS PARTES. Las retenciones legalmente exigibles se acreditarán con sus constancias y no se tratarán como falta de pago.</w:t>
      </w:r>
    </w:p>
    <w:p>
      <w:pPr/>
      <w:r>
        <w:t>7.4. El pago de un periodo no constituye aceptación de avances ni renuncia a exigir entregables previos. La aceptación final deberá coordinarse con la puesta a disposición de código, documentos y demás resultados para su revisión; la cesión y entrega definitiva de derechos se perfeccionan al liquidar. No se podrá exigir el último pago antes de la aceptación final pactada.</w:t>
      </w:r>
    </w:p>
    <w:p>
      <w:pPr/>
      <w:r>
        <w:t>7.5. Los gastos o trabajos adicionales requerirán autorización previa y escrita con importe y condiciones. No se pactan intereses moratorios, cargos automáticos, multas ni penalizaciones en este documento. La mora se notificará y tratará conforme a la cláusula de incumplimiento, sin privar a EL CLIENTE del acceso a sus datos.</w:t>
      </w:r>
    </w:p>
    <w:p>
      <w:pPr>
        <w:pStyle w:val="Heading1"/>
      </w:pPr>
      <w:r>
        <w:t>8. SERVICIOS EXTERNOS E INFRAESTRUCTURA</w:t>
      </w:r>
    </w:p>
    <w:p>
      <w:pPr/>
      <w:r>
        <w:t>8.1. EL CLIENTE contratará y pagará, en sus propias cuentas, alojamiento, base de datos gestionada, dominio, almacenamiento y demás consumos externos previamente aprobados. Conservará titularidad administrativa y control; EL PRESTADOR tendrá accesos individuales, autorizados, auditables y limitados.</w:t>
      </w:r>
    </w:p>
    <w:p>
      <w:pPr/>
      <w:r>
        <w:t>8.2. La arquitectura concreta, región, capacidad, alta disponibilidad y servicios administrados se definirán técnicamente y se aprobarán en el marco del alcance contratado. Se habilitarán entornos separados de pruebas y producción.</w:t>
      </w:r>
    </w:p>
    <w:p>
      <w:pPr/>
      <w:r>
        <w:t>8.3. Las referencias originales son: AWS $4,000–$6,500 MXN al mes y dominio $50–$100 MXN al mes. No son precios garantizados ni cuotas contratadas. El presupuesto deberá redimensionarse y aprobarse antes de comprometer consumos.</w:t>
      </w:r>
    </w:p>
    <w:p>
      <w:pPr/>
      <w:r>
        <w:t>8.4. La referencia original de carga es 30–50 usuarios, hasta 10 simultáneos y 100 GB de archivos, con AWS Virginia y dólar presupuestal de $20 MXN. Son supuestos de referencia, no decisiones definitivas ni un tipo de cambio garantizado. La carga inicial y la recuperación se acordarán y comprobarán al cierre del mes 2; no se reducirán silenciosamente esos supuestos para facilitar pruebas.</w:t>
      </w:r>
    </w:p>
    <w:p>
      <w:pPr/>
      <w:r>
        <w:t>8.5. EL PRESTADOR advertirá oportunamente límites, costos y restricciones conocidos, y documentará respaldo, restauración y recuperación. Una falla del proveedor externo no excluye su responsabilidad por errores propios de selección, configuración o actuación que le sean imputables.</w:t>
      </w:r>
    </w:p>
    <w:p>
      <w:pPr>
        <w:pStyle w:val="Heading1"/>
      </w:pPr>
      <w:r>
        <w:t>9. ENTREGAS, PRUEBAS Y ACEPTACIÓN</w:t>
      </w:r>
    </w:p>
    <w:p>
      <w:pPr/>
      <w:r>
        <w:t>9.1. Cada entrega se notificará por escrito con versión, alcance, acceso, documentación aplicable, resultados de pruebas y casos de aceptación. El plazo de revisión empezará cuando el material esté efectivamente disponible y sea suficiente para verificar lo entregado.</w:t>
      </w:r>
    </w:p>
    <w:p>
      <w:pPr/>
      <w:r>
        <w:t>9.2. EL CLIENTE contará con cinco días hábiles para aceptar expresamente o señalar diferencias por escrito, identificando el caso, resultado esperado, resultado observado y evidencia disponible. El silencio, el uso para pruebas o producción y los pagos no constituyen aceptación. Una discrepancia se evaluará conforme al alcance aprobado, no por su denominación unilateral como cambio.</w:t>
      </w:r>
    </w:p>
    <w:p>
      <w:pPr/>
      <w:r>
        <w:t>9.3. EL PRESTADOR corregirá sin cargo los defectos respecto de lo contratado y notificará una nueva entrega con evidencia de corrección. EL CLIENTE dispondrá del mismo plazo para revisar las correcciones y sus efectos. Las diferencias ajenas al alcance se tramitarán como cambios; no se condicionará la corrección de defectos a contratarlos.</w:t>
      </w:r>
    </w:p>
    <w:p>
      <w:pPr/>
      <w:r>
        <w:t>9.4. No se aceptará el hito del mes 2 ni el cierre integral con fallas críticas abiertas. Las observaciones no críticas podrán quedar en un acta de aceptación expresa con responsable, compromiso de corrección y fecha convenida, sin renuncia a garantía. Podrán aceptarse partes divisibles, identificando con precisión lo aceptado y lo pendiente.</w:t>
      </w:r>
    </w:p>
    <w:p>
      <w:pPr/>
      <w:r>
        <w:t>9.5. Las pruebas del mes 2 incluirán ambos recorridos iniciales, PWA, documentos y fotos a PDF, usuarios y permisos, segregación multicliente, API, alertas y tareas, monitoreo, restauración de respaldo y capacidad inicial aprobada. En el mes 6 se verificarán ampliaciones, regresión, documentación, capacitación e inventario de integraciones. El Anexo B detalla la evidencia mínima.</w:t>
      </w:r>
    </w:p>
    <w:p>
      <w:pPr>
        <w:pStyle w:val="Heading1"/>
      </w:pPr>
      <w:r>
        <w:t>10. CONTROL DE CAMBIOS</w:t>
      </w:r>
    </w:p>
    <w:p>
      <w:pPr/>
      <w:r>
        <w:t>10.1. Una solicitud de cambio describirá necesidad, alcance, exclusiones y motivo. EL PRESTADOR presentará el impacto sobre entregables, precio, calendario, operación y aceptación; LAS PARTES lo aprobarán por escrito antes de ejecutarlo. La aprobación deberá identificar a sus autorizantes y la versión que modifica.</w:t>
      </w:r>
    </w:p>
    <w:p>
      <w:pPr/>
      <w:r>
        <w:t>10.2. Las definiciones que concretan prestaciones ya incluidas no constituyen por sí solas ampliaciones cobrables. Los requisitos nuevos y las integraciones no acordadas sí requerirán evaluación. Sin autorización, continuará el alcance vigente y no procederán aumentos ni prórrogas automáticos.</w:t>
      </w:r>
    </w:p>
    <w:p>
      <w:pPr>
        <w:pStyle w:val="Heading1"/>
      </w:pPr>
      <w:r>
        <w:t>11. GARANTÍA Y CORRECCIÓN DE DEFECTOS</w:t>
      </w:r>
    </w:p>
    <w:p>
      <w:pPr/>
      <w:r>
        <w:t>11.1. Cada entrega expresamente aceptada tendrá garantía de 60 días naturales, sin cargo adicional, desde su aceptación. La integración final contará con un periodo propio de 60 días naturales desde la aceptación integral. Los defectos comunicados dentro del periodo aplicable se atenderán hasta su cierre, aunque venza la garantía.</w:t>
      </w:r>
    </w:p>
    <w:p>
      <w:pPr/>
      <w:r>
        <w:t>11.2. La garantía comprende diagnóstico y corrección de defectos imputables al desarrollo o configuración contratados y la verificación de sus efectos. EL CLIENTE facilitará evidencia y acceso autorizado. EL PRESTADOR registrará el incidente, comunicará diagnóstico, acciones y avance, y propondrá un plazo de corrección acorde a su gravedad; los SLA numéricos requieren acuerdo separado.</w:t>
      </w:r>
    </w:p>
    <w:p>
      <w:pPr/>
      <w:r>
        <w:t>11.3. No son defectos garantizados las funciones nuevas, cambios de terceros o daños atribuibles exclusivamente a modificaciones no autorizadas, uso contrario a instrucciones documentadas o infraestructura fuera del alcance. La exclusión debe demostrarse y limitarse al efecto causado; no anula globalmente la garantía. El mantenimiento opcional no será requisito para ejercerla.</w:t>
      </w:r>
    </w:p>
    <w:p>
      <w:pPr>
        <w:pStyle w:val="Heading1"/>
      </w:pPr>
      <w:r>
        <w:t>12. SOPORTE, MONITOREO Y MANTENIMIENTO</w:t>
      </w:r>
    </w:p>
    <w:p>
      <w:pPr/>
      <w:r>
        <w:t>12.1. Durante la ejecución se incorporarán monitoreo de PWA, API, base de datos, errores, capacidad y respaldos, alertas al soporte y procedimiento de diagnóstico, contención, recuperación, verificación y reporte posterior. Se documentarán responsables, contactos y reglas de operación conforme al Anexo D.</w:t>
      </w:r>
    </w:p>
    <w:p>
      <w:pPr/>
      <w:r>
        <w:t>12.2. La operación 24/7 de R360 no implica atención técnica ni disponibilidad garantizada 24/7. Los horarios, contacto de emergencia, severidades, tiempos de primera respuesta, recuperación, escalamiento y remedios deberán acordarse expresamente. Primera respuesta y recuperación son métricas distintas y no equivalen a resolución definitiva.</w:t>
      </w:r>
    </w:p>
    <w:p>
      <w:pPr/>
      <w:r>
        <w:t>12.3. Los tiempos originales de cuatro horas hábiles para críticos, ocho para altos y dos días hábiles para normales son referencias pendientes de revisión; R360 solicitó tiempos menores. No quedan adoptados como SLA por reproducirse aquí. Tampoco quedan pactados porcentajes de disponibilidad, créditos ni penas por servicio.</w:t>
      </w:r>
    </w:p>
    <w:p>
      <w:pPr/>
      <w:r>
        <w:t>12.4. El mantenimiento posterior es opcional. La referencia de $5,000–$10,000 MXN mensuales más IVA no es una mensualidad contratada. Su contratación requerirá convenio con cobertura, precio, horario, niveles de servicio, exclusiones, duración y cancelación. Su ausencia no extingue las obligaciones de garantía, seguridad, entrega y confidencialidad de este contrato.</w:t>
      </w:r>
    </w:p>
    <w:p>
      <w:pPr>
        <w:pStyle w:val="Heading1"/>
      </w:pPr>
      <w:r>
        <w:t>13. INFORMACIÓN, CONFIDENCIALIDAD Y DATOS PERSONALES</w:t>
      </w:r>
    </w:p>
    <w:p>
      <w:pPr/>
      <w:r>
        <w:t>13.1. EL CLIENTE conserva control y acceso a su información operativa, sin perjuicio de los derechos de los titulares de datos personales. EL PRESTADOR solo la tratará para ejecutar instrucciones autorizadas y este contrato, de conformidad con la normativa mexicana de protección de datos aplicable y el Anexo C.</w:t>
      </w:r>
    </w:p>
    <w:p>
      <w:pPr/>
      <w:r>
        <w:t>13.2. Son confidenciales los expedientes, datos personales, credenciales, documentos, estrategias, información comercial y resultados no públicos conocidos por la relación. Quien los reciba limitará su acceso a personas que los necesiten, sujetas a obligaciones equivalentes, y no los divulgará ni utilizará en beneficio distinto del objeto contractual.</w:t>
      </w:r>
    </w:p>
    <w:p>
      <w:pPr/>
      <w:r>
        <w:t>13.3. No se considera confidencial la información que se acredite pública sin infracción, previamente conocida de forma legítima, recibida lícitamente sin deber de reserva o desarrollada independientemente. Ante un requerimiento legal, se notificará previamente si la ley lo permite y se revelará solo lo indispensable.</w:t>
      </w:r>
    </w:p>
    <w:p>
      <w:pPr/>
      <w:r>
        <w:t>13.4. La reserva se mantendrá durante la relación y cinco años después; respecto de datos personales, secretos protegidos y credenciales subsistirá mientras resulte exigible por su naturaleza o por ley. La devolución o supresión no extingue esa obligación. Ninguna parte podrá publicar expedientes, marcas, capturas ni casos del proyecto como portafolio sin autorización escrita.</w:t>
      </w:r>
    </w:p>
    <w:p>
      <w:pPr/>
      <w:r>
        <w:t>13.5. Los incidentes de seguridad se notificarán sin dilación conforme al Anexo C. No se utilizarán datos ni documentos del proyecto para entrenar modelos o fines publicitarios. El desarrollo y sus pruebas emplearán preferentemente información sintética o anonimizada; el uso real requerirá necesidad y autorización.</w:t>
      </w:r>
    </w:p>
    <w:p>
      <w:pPr>
        <w:pStyle w:val="Heading1"/>
      </w:pPr>
      <w:r>
        <w:t>14. PROPIEDAD INTELECTUAL Y TRANSFERENCIA</w:t>
      </w:r>
    </w:p>
    <w:p>
      <w:pPr/>
      <w:r>
        <w:t>14.1. Al liquidarse el precio, EL PRESTADOR entregará los resultados definitivos y cederá por escrito, de forma exclusiva y onerosa, a EL CESIONARIO los derechos patrimoniales que le correspondan sobre el código a medida, diseños y documentación creados específicamente para el proyecto. La contraprestación de esta cesión se incluye en el precio del desarrollo y no genera un cobro adicional.</w:t>
      </w:r>
    </w:p>
    <w:p>
      <w:pPr/>
      <w:r>
        <w:t>14.2. La cesión comprende reproducción, distribución, comunicación pública, puesta a disposición, modificación, adaptación y transformación, así como autorización de uso a terceros y explotación de versiones derivadas, en cualquier territorio, por quince años desde la liquidación, prorrogables mediante acuerdo escrito conforme a la legislación aplicable. Se respetan los derechos morales y otras facultades irrenunciables. Este plazo y las formalidades de la cesión quedan sujetos a aceptación expresa de LAS PARTES en la versión de firma.</w:t>
      </w:r>
    </w:p>
    <w:p>
      <w:pPr/>
      <w:r>
        <w:t>14.3. EL PRESTADOR obtendrá de sus autores, empleados o colaboradores las autorizaciones o cesiones necesarias y documentará la cadena de titularidad. No podrá reutilizar ni divulgar el código específico o información confidencial de EL CLIENTE sin autorización. Conservará su experiencia general no confidencial.</w:t>
      </w:r>
    </w:p>
    <w:p>
      <w:pPr/>
      <w:r>
        <w:t>14.4. Las bibliotecas de terceros conservarán sus licencias; los componentes preexistentes de EL PRESTADOR se identificarán antes de incorporarse y no se presentarán como creación cedida. Si son necesarios para operar el resultado, EL PRESTADOR otorgará la licencia suficiente, no exclusiva, sin regalías adicionales, para usarlo, mantenerlo y modificarlo, directamente o con otro proveedor, durante todo el periodo en que legalmente pueda concederla. Cualquier restricción material deberá revelarse y aprobarse antes de incorporar el componente; no se impondrán dependencias ocultas.</w:t>
      </w:r>
    </w:p>
    <w:p>
      <w:pPr/>
      <w:r>
        <w:t>14.5. Se entregará un inventario de componentes, licencias, integraciones y restricciones, junto con código fuente, diseños editables, configuraciones sin secretos embebidos, diccionario de datos y guías. EL CLIENTE podrá operar y mantener la plataforma con otro proveedor. No se retendrán sus datos o cuentas como medio de cobro ni se incorporarán mecanismos para bloquearlos por decisión unilateral.</w:t>
      </w:r>
    </w:p>
    <w:p>
      <w:pPr/>
      <w:r>
        <w:t>14.6. El acta de cierre identificará versiones, repositorios, inventario y fecha de eficacia de la cesión. LAS PARTES suscribirán los instrumentos adicionales necesarios y cooperarán en las formalidades o registros legalmente pertinentes. Si EL CESIONARIO es distinto de EL CLIENTE, deberá quedar identificado y aceptar expresamente. Para resultados pagados en terminación anticipada se aplicará la cláusula 17.</w:t>
      </w:r>
    </w:p>
    <w:p>
      <w:pPr>
        <w:pStyle w:val="Heading1"/>
      </w:pPr>
      <w:r>
        <w:t>15. RESPONSABILIDADES Y PERSONAL</w:t>
      </w:r>
    </w:p>
    <w:p>
      <w:pPr/>
      <w:r>
        <w:t>15.1. Cada parte responderá por el incumplimiento imputable de sus obligaciones y los daños directos demostrados que cause, conforme a la ley. No se presume una indemnización por la sola ocurrencia de una falla; deberá establecerse su causa, atribución y cuantía. La persona afectada adoptará medidas razonables de mitigación.</w:t>
      </w:r>
    </w:p>
    <w:p>
      <w:pPr/>
      <w:r>
        <w:t>15.2. No se pacta un límite global convencional de responsabilidad ni una pena automática. Las responsabilidades que legalmente no puedan excluirse conservarán plena aplicación. Los resultados judiciales y actuaciones profesionales no se garantizan por EL PRESTADOR, sin excluir su responsabilidad por el funcionamiento contratado del sistema.</w:t>
      </w:r>
    </w:p>
    <w:p>
      <w:pPr/>
      <w:r>
        <w:t>15.3. EL PRESTADOR informará el uso de subcontratistas con acceso relevante al proyecto o datos y obtendrá la autorización requerida en el Anexo C. Seguirá respondiendo por sus prestaciones. Cada parte dirigirá y asumirá las obligaciones laborales, fiscales y de seguridad social de su propio personal; no se crea subordinación entre este y la contraparte.</w:t>
      </w:r>
    </w:p>
    <w:p>
      <w:pPr/>
      <w:r>
        <w:t>15.4. Quien conozca una reclamación de terceros sobre datos, derechos de autor o actuación relacionada con el contrato la notificará oportunamente y cooperará en su defensa. Ninguna parte reconocerá obligaciones o celebrará acuerdos a cargo de la otra sin su consentimiento. La atribución de costos y daños dependerá de la responsabilidad demostrada y la normativa aplicable.</w:t>
      </w:r>
    </w:p>
    <w:p>
      <w:pPr>
        <w:pStyle w:val="Heading1"/>
      </w:pPr>
      <w:r>
        <w:t>16. INCUMPLIMIENTO, SUBSANACIÓN Y SUSPENSIÓN</w:t>
      </w:r>
    </w:p>
    <w:p>
      <w:pPr/>
      <w:r>
        <w:t>16.1. La parte afectada notificará por escrito el incumplimiento, su evidencia y el remedio solicitado. La otra contará con diez días hábiles desde la recepción para subsanar o, si no es materialmente posible concluir en ese plazo, someter un plan con medidas y fecha cierta a aceptación escrita. Este procedimiento no sustituye el aviso sin dilación ni las medidas urgentes ante incidentes.</w:t>
      </w:r>
    </w:p>
    <w:p>
      <w:pPr/>
      <w:r>
        <w:t>16.2. Si el incumplimiento es sustancial y no se subsana ni se acepta un plan dentro del plazo, la parte cumplida podrá dar por terminado el contrato mediante aviso escrito, sin perjuicio de las acciones legales procedentes. La falta de aceptación por defectos comprobados no se tratará como incumplimiento de pago del saldo final.</w:t>
      </w:r>
    </w:p>
    <w:p>
      <w:pPr/>
      <w:r>
        <w:t>16.3. La suspensión por falta de pago exigible solo procederá después del aviso y plazo de subsanación, con notificación de su alcance y medidas de conservación. Se limitará al trabajo afectado, preservando datos, respaldo y acceso de EL CLIENTE. No autoriza apagar, eliminar o bloquear unilateralmente la operación en cuentas de EL CLIENTE. La reprogramación se documentará sin aumentos automáticos.</w:t>
      </w:r>
    </w:p>
    <w:p>
      <w:pPr>
        <w:pStyle w:val="Heading1"/>
      </w:pPr>
      <w:r>
        <w:t>17. TERMINACIÓN ANTICIPADA Y TRANSICIÓN</w:t>
      </w:r>
    </w:p>
    <w:p>
      <w:pPr/>
      <w:r>
        <w:t>17.1. LAS PARTES podrán terminar de común acuerdo o por incumplimiento conforme a la cláusula anterior. EL CLIENTE también podrá terminar por conveniencia mediante aviso con quince días naturales de anticipación. No habrá penalización automática por terminar; se liquidarán prestaciones verificables conforme a esta cláusula.</w:t>
      </w:r>
    </w:p>
    <w:p>
      <w:pPr/>
      <w:r>
        <w:t>17.2. Dentro de diez días hábiles de la terminación, EL PRESTADOR presentará inventario de avances, evidencia, entregables utilizables o en curso, anticipos recibidos y costos de terceros previamente autorizados y no cancelables. Los avances se valorarán según el alcance y precio contratados, sin convertir unilateralmente el precio fijo en tarifas por hora ni cobrar trabajo no realizado.</w:t>
      </w:r>
    </w:p>
    <w:p>
      <w:pPr/>
      <w:r>
        <w:t>17.3. LAS PARTES conciliarán importes devengados y anticipos no devengados. EL PRESTADOR devolverá estos últimos y EL CLIENTE pagará los avances debidamente acreditados en los diez días hábiles siguientes a la liquidación acordada. Las cantidades controvertidas se documentarán y no impedirán devolver datos, accesos o montos no controvertidos. Los daños por incumplimiento se resolverán por separado conforme a la ley.</w:t>
      </w:r>
    </w:p>
    <w:p>
      <w:pPr/>
      <w:r>
        <w:t>17.4. Se entregarán código y materiales correspondientes a resultados pagados o incluidos en la liquidación, con su estado real y documentación disponible, y se formalizarán sus derechos con las modalidades de la cláusula 14. No se presentará un desarrollo incompleto como funcional ni se condicionará la devolución de la información a pagos controvertidos.</w:t>
      </w:r>
    </w:p>
    <w:p>
      <w:pPr/>
      <w:r>
        <w:t>17.5. EL PRESTADOR cooperará en una transición razonable: exportación, transferencia de administración, inventario, documentación y revocación de sus accesos. La entrega y devolución de lo ya contratado no generarán cargos adicionales; servicios nuevos de migración o asistencia posterior requerirán acuerdo. La devolución, conservación y supresión de datos se regirá por el Anexo C.</w:t>
      </w:r>
    </w:p>
    <w:p>
      <w:pPr>
        <w:pStyle w:val="Heading1"/>
      </w:pPr>
      <w:r>
        <w:t>18. CASO FORTUITO Y FUERZA MAYOR</w:t>
      </w:r>
    </w:p>
    <w:p>
      <w:pPr/>
      <w:r>
        <w:t>18.1. La parte afectada notificará sin dilación un evento extraordinario ajeno a su control, sus efectos y medidas de mitigación, y acreditará la imposibilidad concreta de cumplimiento. Falta de recursos, capacidad insuficiente o fallas evitables de configuración no constituyen por sí mismas fuerza mayor.</w:t>
      </w:r>
    </w:p>
    <w:p>
      <w:pPr/>
      <w:r>
        <w:t>18.2. Solo se afectarán las obligaciones que no puedan cumplirse; continuarán las independientes y los deberes de información y conservación. Se acordará un calendario ajustado, sin cargos automáticos. Si la imposibilidad persiste más de treinta días naturales, cualquiera podrá terminar el trabajo afectado con liquidación y transición conforme a la cláusula 17, sin pena por ese solo hecho.</w:t>
      </w:r>
    </w:p>
    <w:p>
      <w:pPr>
        <w:pStyle w:val="Heading1"/>
      </w:pPr>
      <w:r>
        <w:t>19. NOTIFICACIONES Y ACUERDOS</w:t>
      </w:r>
    </w:p>
    <w:p>
      <w:pPr/>
      <w:r>
        <w:t>19.1. Las notificaciones contractuales se enviarán a los correos y domicilios de la sección 1, con constancia de recepción. Si no hay confirmación verificable, se utilizará un medio alternativo que acredite entrega. Cada parte informará cambios de contacto; mientras no lo haga serán válidos los envíos acreditados al contacto designado.</w:t>
      </w:r>
    </w:p>
    <w:p>
      <w:pPr/>
      <w:r>
        <w:t>19.2. Los correos y actas con identificación de responsables podrán documentar decisiones operativas. Los cambios contractuales y la aceptación o cesión de derechos deberán contener manifestación expresa de quien tenga facultades y permitir acreditar identidad, contenido e integridad. Ningún silencio equivale a consentimiento.</w:t>
      </w:r>
    </w:p>
    <w:p>
      <w:pPr/>
      <w:r>
        <w:t>19.3. Se admiten firmas autógrafas o electrónicas válidas conforme a la legislación aplicable y ejemplares que integren un solo instrumento. La copia íntegra firmada se entregará a cada parte, incluidos anexos y modificaciones.</w:t>
      </w:r>
    </w:p>
    <w:p>
      <w:pPr>
        <w:pStyle w:val="Heading1"/>
      </w:pPr>
      <w:r>
        <w:t>20. INTEGRIDAD, LEY Y CONTROVERSIAS</w:t>
      </w:r>
    </w:p>
    <w:p>
      <w:pPr/>
      <w:r>
        <w:t>20.1. Este contrato sustituye negociaciones previas en lo que regula, conservando como base comercial la cotización incorporada. La invalidez de una disposición no anula las restantes cuando puedan subsistir; LAS PARTES la sustituirán por una válida que respete su finalidad. La tolerancia de un incumplimiento no implica renuncia permanente.</w:t>
      </w:r>
    </w:p>
    <w:p>
      <w:pPr/>
      <w:r>
        <w:t>20.2. Ninguna parte transferirá íntegramente su posición contractual sin consentimiento escrito de la otra, salvo la designación de EL CESIONARIO prevista expresamente. La contratación de terceros no libera a EL PRESTADOR.</w:t>
      </w:r>
    </w:p>
    <w:p>
      <w:pPr/>
      <w:r>
        <w:t>20.3. Se propone la aplicación de las leyes mexicanas, incluidas las disposiciones civiles o mercantiles que correspondan a la naturaleza del acto, derechos de autor y protección de datos. LAS PARTES intentarán resolver diferencias mediante negociación entre sus representantes durante quince días hábiles desde el aviso de controversia, sin impedir medidas urgentes ni interrumpir plazos legales por ese solo hecho.</w:t>
      </w:r>
    </w:p>
    <w:p>
      <w:pPr/>
      <w:r>
        <w:t>20.4. De persistir la diferencia, se someterán a los tribunales competentes con jurisdicción en Naucalpan de Juárez, Estado de México, siempre que la elección sea legalmente válida, sin afectar competencias irrenunciables. Esta elección se incorpora conforme a la indicación del lugar de contratación y ejecución, sin alterar las competencias que establezca la ley.</w:t>
      </w:r>
    </w:p>
    <w:p>
      <w:r>
        <w:br w:type="page"/>
      </w:r>
    </w:p>
    <w:p>
      <w:pPr>
        <w:pStyle w:val="Heading1"/>
      </w:pPr>
      <w:r>
        <w:t>FIRMAS DEL CONTRATO</w:t>
      </w:r>
    </w:p>
    <w:p>
      <w:pPr/>
      <w:r>
        <w:t>Leído el contrato y sus anexos A a E, LAS PARTES manifiestan su conformidad con el contenido completado y firman en el lugar y fecha indicados en la sección 1. No deberán firmarse campos vacíos ni anexos pendientes presentados como cerrados.</w:t>
      </w:r>
    </w:p>
    <w:p>
      <w:pPr/>
      <w:r>
        <w:t>EL CLIENTE: ______________________________</w:t>
      </w:r>
    </w:p>
    <w:p>
      <w:pPr/>
      <w:r>
        <w:t>Nombre, cargo y firma: [POR COMPLETAR]</w:t>
      </w:r>
    </w:p>
    <w:p>
      <w:pPr/>
      <w:r>
        <w:t>EL PRESTADOR: ____________________________</w:t>
      </w:r>
    </w:p>
    <w:p>
      <w:pPr/>
      <w:r>
        <w:t>Roberto Alejandro Guzmán Winzig · Persona física, por propio derecho</w:t>
      </w:r>
    </w:p>
    <w:p>
      <w:pPr/>
      <w:r>
        <w:t>EL CESIONARIO, SI ES DISTINTO, ACEPTA LA DESIGNACIÓN Y CESIÓN CONDICIONADA:</w:t>
      </w:r>
    </w:p>
    <w:p>
      <w:pPr/>
      <w:r>
        <w:t>Nombre o razón social, representante y firma: ______________________________</w:t>
      </w:r>
    </w:p>
    <w:p>
      <w:r>
        <w:br w:type="page"/>
      </w:r>
    </w:p>
    <w:p>
      <w:pPr>
        <w:pStyle w:val="Heading1"/>
      </w:pPr>
      <w:r>
        <w:t>ANEXO A · ALCANCE FUNCIONAL Y ENTREGABLES</w:t>
      </w:r>
    </w:p>
    <w:p>
      <w:pPr>
        <w:pStyle w:val="Heading2"/>
      </w:pPr>
      <w:r>
        <w:t>A.1. Plataforma, usuarios y autonomía</w:t>
      </w:r>
    </w:p>
    <w:p>
      <w:pPr/>
      <w:r>
        <w:t>PWA instalable para computadora y móvil, con captura por perfil y pasos, confirmación de guardado, prevención de duplicados por reintento y aviso de modificaciones simultáneas. Administración por R360 de cuentas, usuarios y permisos. Configuración por cliente de campos, formatos, coberturas y reglas dentro de las posibilidades acordadas. Separación de información entre cuentas. Uso con internet y validación de dispositivos, tamaños y formatos soportados.</w:t>
      </w:r>
    </w:p>
    <w:p>
      <w:pPr>
        <w:pStyle w:val="Heading2"/>
      </w:pPr>
      <w:r>
        <w:t>A.2. Expedientes, documentos y seguimiento</w:t>
      </w:r>
    </w:p>
    <w:p>
      <w:pPr/>
      <w:r>
        <w:t>Expediente con personas, vehículos, trámites, actuaciones, documentos, importes, fechas, tareas, historial y responsables; búsqueda, estados validados, trazabilidad y permisos documentales. Exportaciones PDF y CSV. Ordenamiento y previsualización de fotografías y conversión a PDF. Recordatorios desde PWA y servidor a responsables e involucrados autorizados, bandeja de avisos y notificaciones push cuando lo permitan dispositivo y permisos. No se garantiza la recepción de push si estos requisitos no se cumplen.</w:t>
      </w:r>
    </w:p>
    <w:p>
      <w:pPr>
        <w:pStyle w:val="Heading2"/>
      </w:pPr>
      <w:r>
        <w:t>A.3. Servicios iniciales</w:t>
      </w:r>
    </w:p>
    <w:p>
      <w:pPr/>
      <w:r>
        <w:t>Asistencia Legal Automovilística y Gestoría Vehicular completas y utilizables dentro de los primeros 45 días naturales. Asistencia Legal Automovilística cubrirá recepción, asignación, monitoreo y entrega a coordinación. Para detenidos se contemplan revisiones cada cuatro horas y, después de 24 horas, cada ocho horas o conforme a la instrucción registrada. Se medirán por separado el objetivo condicionado de arribo de 60 minutos y la activación crítica en menos de 48 horas. Estos indicadores de operación profesional no son SLA de disponibilidad del software ni garantías de arribo por EL PRESTADOR. El cierre exigirá soportes y vistos buenos aplicables. El recorrido de Gestoría Vehicular se concretará en la definición funcional sin eliminar su obligación de entrega completa.</w:t>
      </w:r>
    </w:p>
    <w:p>
      <w:pPr>
        <w:pStyle w:val="Heading2"/>
      </w:pPr>
      <w:r>
        <w:t>A.4. Ampliación del portafolio</w:t>
      </w:r>
    </w:p>
    <w:p>
      <w:pPr/>
      <w:r>
        <w:t>Mes 3: Defensa y Recuperación Civil, Subrogación y Mediación; modalidades de autos, vida y gastos médicos; atención relacionada con CONAMED y CONDUSEF; ampliación de API y recorridos por cuenta.</w:t>
      </w:r>
    </w:p>
    <w:p>
      <w:pPr/>
      <w:r>
        <w:t>Mes 4: control económico, administración, supervisión y calidad; valoraciones dentro de la plataforma, consultas y reportes por permisos; completitud y salud de expedientes.</w:t>
      </w:r>
    </w:p>
    <w:p>
      <w:pPr/>
      <w:r>
        <w:t>Mes 5: Apoderado Legal; Robo, Localización y Recuperación de Vehículo; Cobranza Judicial y CONDUSEF; Asesoría Telefónica; Gestoría Administrativa; flotas, Concierge y VIP, conforme a recorridos aprobados. La mención de CONDUSEF en meses 3 y 5 se concretará en la matriz de recorridos, sin duplicar cobros ni omitir funciones del portafolio.</w:t>
      </w:r>
    </w:p>
    <w:p>
      <w:pPr/>
      <w:r>
        <w:t>Mes 6: integraciones externas acordadas dentro del alcance, reportes ejecutivos, validación integral de ampliaciones, regresión, documentación, capacitación y cierre. No implica suscripciones o accesos a autoridades ni integración automática con sus sistemas.</w:t>
      </w:r>
    </w:p>
    <w:p>
      <w:pPr>
        <w:pStyle w:val="Heading2"/>
      </w:pPr>
      <w:r>
        <w:t>A.5. Salud de expedientes</w:t>
      </w:r>
    </w:p>
    <w:p>
      <w:pPr/>
      <w:r>
        <w:t>Reglas sin IA para integridad según campos, documentos y autorizaciones exigibles por servicio y cliente. Distinción entre completitud, validación y cumplimiento de plazos. Faltantes críticos podrán generar alertas o impedir el cierre. Matriz, ponderaciones, excepciones y destinatarios se acordarán en la definición funcional, sin añadir obligaciones ajenas al alcance.</w:t>
      </w:r>
    </w:p>
    <w:p>
      <w:pPr>
        <w:pStyle w:val="Heading2"/>
      </w:pPr>
      <w:r>
        <w:t>A.6. API e intercambio</w:t>
      </w:r>
    </w:p>
    <w:p>
      <w:pPr/>
      <w:r>
        <w:t>API para consultar, registrar y actualizar información autorizada de servicios habilitados, con autenticación, versionado, prevención de duplicados, documentación, errores y reintentos. Exportaciones PDF/CSV y equivalencias de datos para conexiones acordadas. La API de ambos servicios iniciales deberá funcionar y estar documentada al cierre del mes 2; posteriormente se ampliará al portafolio incorporado. Se incluye la importación y exportación por cliente de R360, individual y por lotes según el recorrido aprobado y el inventario de integraciones que LAS PARTES documenten durante el proyecto. Se definirá una estructura común de información de R360 y sus equivalencias con cada sistema externo. JSON será un formato preferente para API cuando el tercero lo soporte; los archivos de intercambio podrán ser JSON, CSV o Excel conforme a las especificaciones de cada conexión. No se promete que un solo formato sea aceptado por todos los clientes ni compatibilidad automática con sistemas desconocidos.</w:t>
      </w:r>
    </w:p>
    <w:p>
      <w:pPr/>
      <w:r>
        <w:t>Cada ficha de intercambio identificará entidades y campos, sentido de flujo, identificadores, catálogos, documentos admitidos, formato, mecanismo de envío, permisos, frecuencia, volumen máximo por lote y reglas de validación, duplicados, actualización y trazabilidad. La importación mostrará el resultado de validación, registros aceptados o rechazados y sus motivos; no modificará datos de otra cuenta ni producirá duplicados por reintento. Se acordará el tratamiento de errores y de resultados parciales. Las exportaciones respetarán filtros y permisos por cliente. No se enviarán datos entre clientes de R360 sin autorización.</w:t>
      </w:r>
    </w:p>
    <w:p>
      <w:pPr/>
      <w:r>
        <w:t>Los casos de aceptación comprobarán con muestras autorizadas el mapeo, importación, actualización, exportación, errores y aislamiento de cada conexión. Para una integración externa, se utilizará el entorno de pruebas autorizado del cliente correspondiente y se validará producción cuando sus accesos estén habilitados; la mera existencia de la API propia no acredita que el conector externo esté entregado. Las dependencias y cualquier reprogramación se regirán por la cláusula 6.4 y requerirán evidencia y acuerdo escrito; no eliminan la obligación ni generan aceptación tácita. La depuración manual de archivos históricos y migraciones extraordinarias no acordadas no se presumen incluidas por existir importación.</w:t>
      </w:r>
    </w:p>
    <w:p>
      <w:pPr>
        <w:pStyle w:val="Heading2"/>
      </w:pPr>
      <w:r>
        <w:t>A.7. Entregables transversales</w:t>
      </w:r>
    </w:p>
    <w:p>
      <w:pPr/>
      <w:r>
        <w:t>Diseños editables y componentes; código fuente a medida; accesos y configuraciones; diccionario de datos; documentación de API; guías de despliegue, respaldo y recuperación; entornos separados de pruebas y producción; manual de uso; dos capacitaciones de dos horas cada una; inventario final de integraciones y licencias; actas y evidencia de pruebas. La documentación y capacitación deberán corresponder a la versión entregada, en español. La modalidad y fechas de capacitación se coordinarán por escrito; se documentarán temario y asistencia.</w:t>
      </w:r>
    </w:p>
    <w:p>
      <w:pPr>
        <w:pStyle w:val="Heading2"/>
      </w:pPr>
      <w:r>
        <w:t>A.8. Exclusiones y dependencias</w:t>
      </w:r>
    </w:p>
    <w:p>
      <w:pPr/>
      <w:r>
        <w:t>No se incluyen IA, conectores futuros no acordados, operación sin internet, transferencias de dinero ni emisión fiscal desde el CRM. La importación y exportación por cliente sí forman parte del precio en los términos de A.6; no se presume una migración histórica extraordinaria o depuración manual no acordada. Permanecen incluidas la extensibilidad de interfaces y las funciones expresamente enumeradas. EL CLIENTE aporta contenidos, reglas profesionales, atención y gastos jurídicos; contrata consumos externos aprobados y suministra accesos válidos.</w:t>
      </w:r>
    </w:p>
    <w:p>
      <w:r>
        <w:br w:type="page"/>
      </w:r>
    </w:p>
    <w:p>
      <w:pPr>
        <w:pStyle w:val="Heading1"/>
      </w:pPr>
      <w:r>
        <w:t>ANEXO B · HITOS, PAGOS Y ACEPTACIÓN</w:t>
      </w:r>
    </w:p>
    <w:p>
      <w:pPr>
        <w:pStyle w:val="Heading2"/>
      </w:pPr>
      <w:r>
        <w:t>B.1. Calendario económico</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rPr>
          <w:tblHeader/>
        </w:trPr>
        <w:tc>
          <w:tcPr>
            <w:tcW w:type="dxa" w:w="720"/>
          </w:tcPr>
          <w:p>
            <w:pPr>
              <w:spacing w:after="80"/>
            </w:pPr>
            <w:r>
              <w:rPr>
                <w:sz w:val="17"/>
              </w:rPr>
              <w:t>Periodo</w:t>
            </w:r>
          </w:p>
        </w:tc>
        <w:tc>
          <w:tcPr>
            <w:tcW w:type="dxa" w:w="3888"/>
          </w:tcPr>
          <w:p>
            <w:pPr>
              <w:spacing w:after="80"/>
            </w:pPr>
            <w:r>
              <w:rPr>
                <w:sz w:val="17"/>
              </w:rPr>
              <w:t>Resultado contractual principal</w:t>
            </w:r>
          </w:p>
        </w:tc>
        <w:tc>
          <w:tcPr>
            <w:tcW w:type="dxa" w:w="1080"/>
          </w:tcPr>
          <w:p>
            <w:pPr>
              <w:spacing w:after="80"/>
            </w:pPr>
            <w:r>
              <w:rPr>
                <w:sz w:val="17"/>
              </w:rPr>
              <w:t>Base MXN</w:t>
            </w:r>
          </w:p>
        </w:tc>
        <w:tc>
          <w:tcPr>
            <w:tcW w:type="dxa" w:w="1008"/>
          </w:tcPr>
          <w:p>
            <w:pPr>
              <w:spacing w:after="80"/>
            </w:pPr>
            <w:r>
              <w:rPr>
                <w:sz w:val="17"/>
              </w:rPr>
              <w:t>IVA MXN</w:t>
            </w:r>
          </w:p>
        </w:tc>
        <w:tc>
          <w:tcPr>
            <w:tcW w:type="dxa" w:w="1152"/>
          </w:tcPr>
          <w:p>
            <w:pPr>
              <w:spacing w:after="80"/>
            </w:pPr>
            <w:r>
              <w:rPr>
                <w:sz w:val="17"/>
              </w:rPr>
              <w:t>Total MXN</w:t>
            </w:r>
          </w:p>
        </w:tc>
        <w:tc>
          <w:tcPr>
            <w:tcW w:type="dxa" w:w="2088"/>
          </w:tcPr>
          <w:p>
            <w:pPr>
              <w:spacing w:after="80"/>
            </w:pPr>
            <w:r>
              <w:rPr>
                <w:sz w:val="17"/>
              </w:rPr>
              <w:t>Exigibilidad</w:t>
            </w:r>
          </w:p>
        </w:tc>
      </w:tr>
      <w:tr>
        <w:tc>
          <w:tcPr>
            <w:tcW w:type="dxa" w:w="720"/>
          </w:tcPr>
          <w:p>
            <w:pPr>
              <w:spacing w:after="80"/>
            </w:pPr>
            <w:r>
              <w:rPr>
                <w:sz w:val="17"/>
              </w:rPr>
              <w:t>Mes 1</w:t>
            </w:r>
          </w:p>
        </w:tc>
        <w:tc>
          <w:tcPr>
            <w:tcW w:type="dxa" w:w="3888"/>
          </w:tcPr>
          <w:p>
            <w:pPr>
              <w:spacing w:after="80"/>
            </w:pPr>
            <w:r>
              <w:rPr>
                <w:sz w:val="17"/>
              </w:rPr>
              <w:t>Definición días 1–15; arquitectura modular y multicliente, diseño funcional, PWA, API base, usuarios y permisos; preparación de infraestructura y controles.</w:t>
            </w:r>
          </w:p>
        </w:tc>
        <w:tc>
          <w:tcPr>
            <w:tcW w:type="dxa" w:w="1080"/>
          </w:tcPr>
          <w:p>
            <w:pPr>
              <w:spacing w:after="80"/>
            </w:pPr>
            <w:r>
              <w:rPr>
                <w:sz w:val="17"/>
              </w:rPr>
              <w:t>35,000.00</w:t>
            </w:r>
          </w:p>
        </w:tc>
        <w:tc>
          <w:tcPr>
            <w:tcW w:type="dxa" w:w="1008"/>
          </w:tcPr>
          <w:p>
            <w:pPr>
              <w:spacing w:after="80"/>
            </w:pPr>
            <w:r>
              <w:rPr>
                <w:sz w:val="17"/>
              </w:rPr>
              <w:t>5,600.00</w:t>
            </w:r>
          </w:p>
        </w:tc>
        <w:tc>
          <w:tcPr>
            <w:tcW w:type="dxa" w:w="1152"/>
          </w:tcPr>
          <w:p>
            <w:pPr>
              <w:spacing w:after="80"/>
            </w:pPr>
            <w:r>
              <w:rPr>
                <w:sz w:val="17"/>
              </w:rPr>
              <w:t>40,600.00</w:t>
            </w:r>
          </w:p>
        </w:tc>
        <w:tc>
          <w:tcPr>
            <w:tcW w:type="dxa" w:w="2088"/>
          </w:tcPr>
          <w:p>
            <w:pPr>
              <w:spacing w:after="80"/>
            </w:pPr>
            <w:r>
              <w:rPr>
                <w:sz w:val="17"/>
              </w:rPr>
              <w:t>Inicio del periodo; primer pago para arranque.</w:t>
            </w:r>
          </w:p>
        </w:tc>
      </w:tr>
      <w:tr>
        <w:tc>
          <w:tcPr>
            <w:tcW w:type="dxa" w:w="720"/>
          </w:tcPr>
          <w:p>
            <w:pPr>
              <w:spacing w:after="80"/>
            </w:pPr>
            <w:r>
              <w:rPr>
                <w:sz w:val="17"/>
              </w:rPr>
              <w:t>Mes 2</w:t>
            </w:r>
          </w:p>
        </w:tc>
        <w:tc>
          <w:tcPr>
            <w:tcW w:type="dxa" w:w="3888"/>
          </w:tcPr>
          <w:p>
            <w:pPr>
              <w:spacing w:after="80"/>
            </w:pPr>
            <w:r>
              <w:rPr>
                <w:sz w:val="17"/>
              </w:rPr>
              <w:t>Servicios iniciales al día 45; al cierre del mes, producción, API documentada, seguridad, segregación, fotos a PDF, alertas, tareas, restauración, monitoreo y capacidad.</w:t>
            </w:r>
          </w:p>
        </w:tc>
        <w:tc>
          <w:tcPr>
            <w:tcW w:type="dxa" w:w="1080"/>
          </w:tcPr>
          <w:p>
            <w:pPr>
              <w:spacing w:after="80"/>
            </w:pPr>
            <w:r>
              <w:rPr>
                <w:sz w:val="17"/>
              </w:rPr>
              <w:t>35,000.00</w:t>
            </w:r>
          </w:p>
        </w:tc>
        <w:tc>
          <w:tcPr>
            <w:tcW w:type="dxa" w:w="1008"/>
          </w:tcPr>
          <w:p>
            <w:pPr>
              <w:spacing w:after="80"/>
            </w:pPr>
            <w:r>
              <w:rPr>
                <w:sz w:val="17"/>
              </w:rPr>
              <w:t>5,600.00</w:t>
            </w:r>
          </w:p>
        </w:tc>
        <w:tc>
          <w:tcPr>
            <w:tcW w:type="dxa" w:w="1152"/>
          </w:tcPr>
          <w:p>
            <w:pPr>
              <w:spacing w:after="80"/>
            </w:pPr>
            <w:r>
              <w:rPr>
                <w:sz w:val="17"/>
              </w:rPr>
              <w:t>40,600.00</w:t>
            </w:r>
          </w:p>
        </w:tc>
        <w:tc>
          <w:tcPr>
            <w:tcW w:type="dxa" w:w="2088"/>
          </w:tcPr>
          <w:p>
            <w:pPr>
              <w:spacing w:after="80"/>
            </w:pPr>
            <w:r>
              <w:rPr>
                <w:sz w:val="17"/>
              </w:rPr>
              <w:t>Inicio del mes 2.</w:t>
            </w:r>
          </w:p>
        </w:tc>
      </w:tr>
      <w:tr>
        <w:tc>
          <w:tcPr>
            <w:tcW w:type="dxa" w:w="720"/>
          </w:tcPr>
          <w:p>
            <w:pPr>
              <w:spacing w:after="80"/>
            </w:pPr>
            <w:r>
              <w:rPr>
                <w:sz w:val="17"/>
              </w:rPr>
              <w:t>Mes 3</w:t>
            </w:r>
          </w:p>
        </w:tc>
        <w:tc>
          <w:tcPr>
            <w:tcW w:type="dxa" w:w="3888"/>
          </w:tcPr>
          <w:p>
            <w:pPr>
              <w:spacing w:after="80"/>
            </w:pPr>
            <w:r>
              <w:rPr>
                <w:sz w:val="17"/>
              </w:rPr>
              <w:t>Defensa y Recuperación Civil, Subrogación y Mediación y modalidades descritas en A.4; ampliación de API.</w:t>
            </w:r>
          </w:p>
        </w:tc>
        <w:tc>
          <w:tcPr>
            <w:tcW w:type="dxa" w:w="1080"/>
          </w:tcPr>
          <w:p>
            <w:pPr>
              <w:spacing w:after="80"/>
            </w:pPr>
            <w:r>
              <w:rPr>
                <w:sz w:val="17"/>
              </w:rPr>
              <w:t>35,000.00</w:t>
            </w:r>
          </w:p>
        </w:tc>
        <w:tc>
          <w:tcPr>
            <w:tcW w:type="dxa" w:w="1008"/>
          </w:tcPr>
          <w:p>
            <w:pPr>
              <w:spacing w:after="80"/>
            </w:pPr>
            <w:r>
              <w:rPr>
                <w:sz w:val="17"/>
              </w:rPr>
              <w:t>5,600.00</w:t>
            </w:r>
          </w:p>
        </w:tc>
        <w:tc>
          <w:tcPr>
            <w:tcW w:type="dxa" w:w="1152"/>
          </w:tcPr>
          <w:p>
            <w:pPr>
              <w:spacing w:after="80"/>
            </w:pPr>
            <w:r>
              <w:rPr>
                <w:sz w:val="17"/>
              </w:rPr>
              <w:t>40,600.00</w:t>
            </w:r>
          </w:p>
        </w:tc>
        <w:tc>
          <w:tcPr>
            <w:tcW w:type="dxa" w:w="2088"/>
          </w:tcPr>
          <w:p>
            <w:pPr>
              <w:spacing w:after="80"/>
            </w:pPr>
            <w:r>
              <w:rPr>
                <w:sz w:val="17"/>
              </w:rPr>
              <w:t>Inicio del mes 3.</w:t>
            </w:r>
          </w:p>
        </w:tc>
      </w:tr>
      <w:tr>
        <w:tc>
          <w:tcPr>
            <w:tcW w:type="dxa" w:w="720"/>
          </w:tcPr>
          <w:p>
            <w:pPr>
              <w:spacing w:after="80"/>
            </w:pPr>
            <w:r>
              <w:rPr>
                <w:sz w:val="17"/>
              </w:rPr>
              <w:t>Mes 4</w:t>
            </w:r>
          </w:p>
        </w:tc>
        <w:tc>
          <w:tcPr>
            <w:tcW w:type="dxa" w:w="3888"/>
          </w:tcPr>
          <w:p>
            <w:pPr>
              <w:spacing w:after="80"/>
            </w:pPr>
            <w:r>
              <w:rPr>
                <w:sz w:val="17"/>
              </w:rPr>
              <w:t>Control económico, administración, supervisión, calidad, valoraciones, reportes y salud de expedientes.</w:t>
            </w:r>
          </w:p>
        </w:tc>
        <w:tc>
          <w:tcPr>
            <w:tcW w:type="dxa" w:w="1080"/>
          </w:tcPr>
          <w:p>
            <w:pPr>
              <w:spacing w:after="80"/>
            </w:pPr>
            <w:r>
              <w:rPr>
                <w:sz w:val="17"/>
              </w:rPr>
              <w:t>35,000.00</w:t>
            </w:r>
          </w:p>
        </w:tc>
        <w:tc>
          <w:tcPr>
            <w:tcW w:type="dxa" w:w="1008"/>
          </w:tcPr>
          <w:p>
            <w:pPr>
              <w:spacing w:after="80"/>
            </w:pPr>
            <w:r>
              <w:rPr>
                <w:sz w:val="17"/>
              </w:rPr>
              <w:t>5,600.00</w:t>
            </w:r>
          </w:p>
        </w:tc>
        <w:tc>
          <w:tcPr>
            <w:tcW w:type="dxa" w:w="1152"/>
          </w:tcPr>
          <w:p>
            <w:pPr>
              <w:spacing w:after="80"/>
            </w:pPr>
            <w:r>
              <w:rPr>
                <w:sz w:val="17"/>
              </w:rPr>
              <w:t>40,600.00</w:t>
            </w:r>
          </w:p>
        </w:tc>
        <w:tc>
          <w:tcPr>
            <w:tcW w:type="dxa" w:w="2088"/>
          </w:tcPr>
          <w:p>
            <w:pPr>
              <w:spacing w:after="80"/>
            </w:pPr>
            <w:r>
              <w:rPr>
                <w:sz w:val="17"/>
              </w:rPr>
              <w:t>Inicio del mes 4.</w:t>
            </w:r>
          </w:p>
        </w:tc>
      </w:tr>
      <w:tr>
        <w:tc>
          <w:tcPr>
            <w:tcW w:type="dxa" w:w="720"/>
          </w:tcPr>
          <w:p>
            <w:pPr>
              <w:spacing w:after="80"/>
            </w:pPr>
            <w:r>
              <w:rPr>
                <w:sz w:val="17"/>
              </w:rPr>
              <w:t>Mes 5</w:t>
            </w:r>
          </w:p>
        </w:tc>
        <w:tc>
          <w:tcPr>
            <w:tcW w:type="dxa" w:w="3888"/>
          </w:tcPr>
          <w:p>
            <w:pPr>
              <w:spacing w:after="80"/>
            </w:pPr>
            <w:r>
              <w:rPr>
                <w:sz w:val="17"/>
              </w:rPr>
              <w:t>Portafolio adicional descrito en A.4, conforme a recorridos aprobados.</w:t>
            </w:r>
          </w:p>
        </w:tc>
        <w:tc>
          <w:tcPr>
            <w:tcW w:type="dxa" w:w="1080"/>
          </w:tcPr>
          <w:p>
            <w:pPr>
              <w:spacing w:after="80"/>
            </w:pPr>
            <w:r>
              <w:rPr>
                <w:sz w:val="17"/>
              </w:rPr>
              <w:t>35,000.00</w:t>
            </w:r>
          </w:p>
        </w:tc>
        <w:tc>
          <w:tcPr>
            <w:tcW w:type="dxa" w:w="1008"/>
          </w:tcPr>
          <w:p>
            <w:pPr>
              <w:spacing w:after="80"/>
            </w:pPr>
            <w:r>
              <w:rPr>
                <w:sz w:val="17"/>
              </w:rPr>
              <w:t>5,600.00</w:t>
            </w:r>
          </w:p>
        </w:tc>
        <w:tc>
          <w:tcPr>
            <w:tcW w:type="dxa" w:w="1152"/>
          </w:tcPr>
          <w:p>
            <w:pPr>
              <w:spacing w:after="80"/>
            </w:pPr>
            <w:r>
              <w:rPr>
                <w:sz w:val="17"/>
              </w:rPr>
              <w:t>40,600.00</w:t>
            </w:r>
          </w:p>
        </w:tc>
        <w:tc>
          <w:tcPr>
            <w:tcW w:type="dxa" w:w="2088"/>
          </w:tcPr>
          <w:p>
            <w:pPr>
              <w:spacing w:after="80"/>
            </w:pPr>
            <w:r>
              <w:rPr>
                <w:sz w:val="17"/>
              </w:rPr>
              <w:t>Inicio del mes 5.</w:t>
            </w:r>
          </w:p>
        </w:tc>
      </w:tr>
      <w:tr>
        <w:tc>
          <w:tcPr>
            <w:tcW w:type="dxa" w:w="720"/>
          </w:tcPr>
          <w:p>
            <w:pPr>
              <w:spacing w:after="80"/>
            </w:pPr>
            <w:r>
              <w:rPr>
                <w:sz w:val="17"/>
              </w:rPr>
              <w:t>Mes 6</w:t>
            </w:r>
          </w:p>
        </w:tc>
        <w:tc>
          <w:tcPr>
            <w:tcW w:type="dxa" w:w="3888"/>
          </w:tcPr>
          <w:p>
            <w:pPr>
              <w:spacing w:after="80"/>
            </w:pPr>
            <w:r>
              <w:rPr>
                <w:sz w:val="17"/>
              </w:rPr>
              <w:t>Integraciones acordadas, reportes ejecutivos, validación integral, regresión, documentación, capacitación, entrega final y derechos al liquidar.</w:t>
            </w:r>
          </w:p>
        </w:tc>
        <w:tc>
          <w:tcPr>
            <w:tcW w:type="dxa" w:w="1080"/>
          </w:tcPr>
          <w:p>
            <w:pPr>
              <w:spacing w:after="80"/>
            </w:pPr>
            <w:r>
              <w:rPr>
                <w:sz w:val="17"/>
              </w:rPr>
              <w:t>25,000.00</w:t>
            </w:r>
          </w:p>
        </w:tc>
        <w:tc>
          <w:tcPr>
            <w:tcW w:type="dxa" w:w="1008"/>
          </w:tcPr>
          <w:p>
            <w:pPr>
              <w:spacing w:after="80"/>
            </w:pPr>
            <w:r>
              <w:rPr>
                <w:sz w:val="17"/>
              </w:rPr>
              <w:t>4,000.00</w:t>
            </w:r>
          </w:p>
        </w:tc>
        <w:tc>
          <w:tcPr>
            <w:tcW w:type="dxa" w:w="1152"/>
          </w:tcPr>
          <w:p>
            <w:pPr>
              <w:spacing w:after="80"/>
            </w:pPr>
            <w:r>
              <w:rPr>
                <w:sz w:val="17"/>
              </w:rPr>
              <w:t>29,000.00</w:t>
            </w:r>
          </w:p>
        </w:tc>
        <w:tc>
          <w:tcPr>
            <w:tcW w:type="dxa" w:w="2088"/>
          </w:tcPr>
          <w:p>
            <w:pPr>
              <w:spacing w:after="80"/>
            </w:pPr>
            <w:r>
              <w:rPr>
                <w:sz w:val="17"/>
              </w:rPr>
              <w:t>Contra revisión, entrega y aceptación final.</w:t>
            </w:r>
          </w:p>
        </w:tc>
      </w:tr>
      <w:tr>
        <w:tc>
          <w:tcPr>
            <w:tcW w:type="dxa" w:w="720"/>
          </w:tcPr>
          <w:p>
            <w:pPr>
              <w:spacing w:after="80"/>
            </w:pPr>
            <w:r>
              <w:rPr>
                <w:sz w:val="17"/>
              </w:rPr>
              <w:t>TOTAL</w:t>
            </w:r>
          </w:p>
        </w:tc>
        <w:tc>
          <w:tcPr>
            <w:tcW w:type="dxa" w:w="3888"/>
          </w:tcPr>
          <w:p>
            <w:pPr>
              <w:spacing w:after="80"/>
            </w:pPr>
            <w:r>
              <w:rPr>
                <w:sz w:val="17"/>
              </w:rPr>
              <w:t>Desarrollo completo</w:t>
            </w:r>
          </w:p>
        </w:tc>
        <w:tc>
          <w:tcPr>
            <w:tcW w:type="dxa" w:w="1080"/>
          </w:tcPr>
          <w:p>
            <w:pPr>
              <w:spacing w:after="80"/>
            </w:pPr>
            <w:r>
              <w:rPr>
                <w:sz w:val="17"/>
              </w:rPr>
              <w:t>200,000.00</w:t>
            </w:r>
          </w:p>
        </w:tc>
        <w:tc>
          <w:tcPr>
            <w:tcW w:type="dxa" w:w="1008"/>
          </w:tcPr>
          <w:p>
            <w:pPr>
              <w:spacing w:after="80"/>
            </w:pPr>
            <w:r>
              <w:rPr>
                <w:sz w:val="17"/>
              </w:rPr>
              <w:t>32,000.00</w:t>
            </w:r>
          </w:p>
        </w:tc>
        <w:tc>
          <w:tcPr>
            <w:tcW w:type="dxa" w:w="1152"/>
          </w:tcPr>
          <w:p>
            <w:pPr>
              <w:spacing w:after="80"/>
            </w:pPr>
            <w:r>
              <w:rPr>
                <w:sz w:val="17"/>
              </w:rPr>
              <w:t>232,000.00</w:t>
            </w:r>
          </w:p>
        </w:tc>
        <w:tc>
          <w:tcPr>
            <w:tcW w:type="dxa" w:w="2088"/>
          </w:tcPr>
          <w:p>
            <w:pPr>
              <w:spacing w:after="80"/>
            </w:pPr>
            <w:r>
              <w:rPr>
                <w:sz w:val="17"/>
              </w:rPr>
              <w:t>Sin incrementos automáticos.</w:t>
            </w:r>
          </w:p>
        </w:tc>
      </w:tr>
    </w:tbl>
    <w:p/>
    <w:p>
      <w:pPr>
        <w:pStyle w:val="Heading2"/>
      </w:pPr>
      <w:r>
        <w:t>B.2. Evidencia de aceptación</w:t>
      </w:r>
    </w:p>
    <w:p>
      <w:pPr/>
      <w:r>
        <w:t>Cada caso aprobado identificará servicio, cuenta y perfil, precondiciones, datos de prueba, pasos, resultado esperado, resultado obtenido, evidencia y responsable. Las pruebas de permisos deberán incluir accesos denegados y separación entre clientes, no solo accesos permitidos. Se registrarán defectos y correcciones.</w:t>
      </w:r>
    </w:p>
    <w:p>
      <w:pPr/>
      <w:r>
        <w:t>Al día 45: demostración de recorridos completos y utilizables de Asistencia Legal Automovilística y Gestoría Vehicular, con perfiles y estados aprobados, documentos, actuaciones, responsables y cierre conforme a sus reglas. No se confunde este hito con la aceptación de todo el portafolio ni con el control integral de infraestructura del cierre del mes 2.</w:t>
      </w:r>
    </w:p>
    <w:p>
      <w:pPr/>
      <w:r>
        <w:t>Al cierre del mes 2: recorridos iniciales en producción; instalación y uso de PWA en dispositivos acordados; documentos y fotografías convertidas a PDF; bandeja, alertas y tareas; permisos y segregación; operaciones API autorizadas y rechazadas con documentación; monitoreo y alertas; respaldo identificado y restauración probada con verificación de integridad; prueba de la carga inicial aprobada con métricas y resultados frente a umbrales acordados. Sin fallas críticas abiertas.</w:t>
      </w:r>
    </w:p>
    <w:p>
      <w:pPr/>
      <w:r>
        <w:t>Durante meses 3 a 5: validación de recorridos de cada módulo incorporado, API aplicable, reportes y reglas, conservando permisos y separación entre cuentas. Las aceptaciones no eliminan la validación de integración final.</w:t>
      </w:r>
    </w:p>
    <w:p>
      <w:pPr/>
      <w:r>
        <w:t>Cierre del mes 6: evidencia de los intercambios e integraciones por cliente incluidos, con sus pruebas de importación y exportación y resultados; funcionamiento integrado del portafolio, regresión de módulos iniciales y ampliaciones, reportes ejecutivos, integraciones identificadas, inventario de licencias, documentación y manuales vigentes, dos capacitaciones de dos horas y materiales de entrega revisables. Se formalizará aceptación integral sin fallas críticas, liquidación y entrega definitiva con cesión.</w:t>
      </w:r>
    </w:p>
    <w:p>
      <w:pPr>
        <w:pStyle w:val="Heading2"/>
      </w:pPr>
      <w:r>
        <w:t>B.3. Registro de hitos</w:t>
      </w:r>
    </w:p>
    <w:p>
      <w:pPr/>
      <w:r>
        <w:t>T0: [POR COMPLETAR EN ACTA]. Fecha límite del día 45: [POR COMPLETAR]. Cierre del mes 2: [POR COMPLETAR]. Cierre del mes 6: [POR COMPLETAR]. Las fechas se calcularán conforme a la cláusula 5. La revisión de cinco días hábiles y la corrección de defectos se regirán por la cláusula 9; nunca por aceptación tácita.</w:t>
      </w:r>
    </w:p>
    <w:p>
      <w:r>
        <w:br w:type="page"/>
      </w:r>
    </w:p>
    <w:p>
      <w:pPr>
        <w:pStyle w:val="Heading1"/>
      </w:pPr>
      <w:r>
        <w:t>ANEXO C · TRATAMIENTO Y SEGURIDAD DE LA INFORMACIÓN</w:t>
      </w:r>
    </w:p>
    <w:p>
      <w:pPr>
        <w:pStyle w:val="Heading2"/>
      </w:pPr>
      <w:r>
        <w:t>C.1. Roles y finalidades</w:t>
      </w:r>
    </w:p>
    <w:p>
      <w:pPr/>
      <w:r>
        <w:t>EL CLIENTE determinará finalidades, licitud, avisos de privacidad y atención de derechos de titulares; en la medida en que decida el tratamiento, actuará como responsable. EL PRESTADOR actuará como encargado respecto de datos a los que acceda por instrucciones de EL CLIENTE para desarrollar, configurar, probar, soportar, respaldar y recuperar el sistema. El tratamiento que cada parte realice por obligación propia, como facturación, se sujetará a su responsabilidad y aviso aplicable. Si los clientes de R360 generan otros roles, deberán identificarse antes de tratar sus datos; este contrato no presume autorizaciones de terceros.</w:t>
      </w:r>
    </w:p>
    <w:p>
      <w:pPr>
        <w:pStyle w:val="Heading2"/>
      </w:pPr>
      <w:r>
        <w:t>C.2. Categorías y límites</w:t>
      </w:r>
    </w:p>
    <w:p>
      <w:pPr/>
      <w:r>
        <w:t>Podrán tratarse datos de identificación y contacto, personas y vehículos, expedientes jurídicos y administrativos, documentos, fotografías, importes y actuaciones, y, cuando el servicio lo requiera, datos de salud u otros sensibles. EL CLIENTE documentará categorías realmente necesarias, titulares, base jurídica, consentimientos o excepciones y plazos de conservación. No se recabarán datos adicionales por mera conveniencia técnica. Los datos reales no deberán cargarse antes de validar avisos, permisos y medidas aplicables.</w:t>
      </w:r>
    </w:p>
    <w:p>
      <w:pPr>
        <w:pStyle w:val="Heading2"/>
      </w:pPr>
      <w:r>
        <w:t>C.3. Instrucciones y personal autorizado</w:t>
      </w:r>
    </w:p>
    <w:p>
      <w:pPr/>
      <w:r>
        <w:t>Las instrucciones constarán en este contrato, actas o solicitudes de responsables autorizados. EL PRESTADOR advertirá instrucciones manifiestamente incompatibles con la normativa y solicitará su aclaración antes de ejecutarlas. Solo personal autorizado y sujeto a confidencialidad tendrá acceso. No habrá venta, reutilización, publicidad, entrenamiento de modelos o divulgación ajena al servicio.</w:t>
      </w:r>
    </w:p>
    <w:p>
      <w:pPr>
        <w:pStyle w:val="Heading2"/>
      </w:pPr>
      <w:r>
        <w:t>C.4. Medidas mínimas</w:t>
      </w:r>
    </w:p>
    <w:p>
      <w:pPr/>
      <w:r>
        <w:t>Se implementarán control de acceso por perfil y cuenta, identificación individual de accesos técnicos, separación de pruebas y producción, protección de comunicaciones y credenciales, trazabilidad de acciones relevantes, actualizaciones de seguridad, respaldos, monitoreo y restauración comprobada. LAS PARTES concretarán protección de archivos y respaldos, retención, recuperación, gestión de vulnerabilidades y accesos de emergencia de acuerdo con el riesgo. EL PRESTADOR entregará evidencia de implementación y no incorporará secretos en código o documentación entregable.</w:t>
      </w:r>
    </w:p>
    <w:p>
      <w:pPr>
        <w:pStyle w:val="Heading2"/>
      </w:pPr>
      <w:r>
        <w:t>C.5. Proveedores, alojamiento y transferencias</w:t>
      </w:r>
    </w:p>
    <w:p>
      <w:pPr/>
      <w:r>
        <w:t>Antes de permitir acceso a datos, se identificarán proveedores, servicios, ubicaciones o regiones de tratamiento y subencargados, y se obtendrá autorización documentada de EL CLIENTE. EL PRESTADOR exigirá deberes equivalentes y seguirá respondiendo por su actuación contractual. EL CLIENTE validará las bases y avisos de transferencias nacionales o internacionales que legalmente se requieran. La referencia histórica a Virginia no constituye autorización de transferencia ni selección definitiva de región.</w:t>
      </w:r>
    </w:p>
    <w:p>
      <w:pPr>
        <w:pStyle w:val="Heading2"/>
      </w:pPr>
      <w:r>
        <w:t>C.6. Incidentes</w:t>
      </w:r>
    </w:p>
    <w:p>
      <w:pPr/>
      <w:r>
        <w:t>Quien detecte un incidente que comprometa información o continuidad lo comunicará sin dilación al contacto designado, sin esperar a concluir la investigación. El aviso incluirá lo conocido sobre naturaleza, momento, datos y sistemas afectados, riesgos, contención y contacto; se actualizará conforme existan hechos comprobados. EL PRESTADOR preservará evidencia, contendrá el incidente, colaborará en recuperación y emitirá reporte de causa y medidas. EL CLIENTE coordinará las comunicaciones a titulares o autoridades que le correspondan; EL PRESTADOR le facilitará información y atenderá sus deberes legales propios. El SLA pendiente no suspende este deber de aviso y actuación.</w:t>
      </w:r>
    </w:p>
    <w:p>
      <w:pPr>
        <w:pStyle w:val="Heading2"/>
      </w:pPr>
      <w:r>
        <w:t>C.7. Derechos y verificaciones</w:t>
      </w:r>
    </w:p>
    <w:p>
      <w:pPr/>
      <w:r>
        <w:t>EL PRESTADOR remitirá sin dilación solicitudes de titulares al responsable designado y asistirá en acceso, rectificación, cancelación, oposición y demás obligaciones aplicables, sin responder en nombre de EL CLIENTE sin autorización. Entregará evidencia razonable de controles y permitirá verificaciones coordinadas, proporcionales y confidenciales, sin comprometer datos de otros clientes ni la seguridad del servicio.</w:t>
      </w:r>
    </w:p>
    <w:p>
      <w:pPr>
        <w:pStyle w:val="Heading2"/>
      </w:pPr>
      <w:r>
        <w:t>C.8. Fin del tratamiento</w:t>
      </w:r>
    </w:p>
    <w:p>
      <w:pPr/>
      <w:r>
        <w:t>Al concluir el servicio, EL PRESTADOR devolverá información y exportaciones disponibles, transferirá administración y revocará sus accesos. De acuerdo con instrucciones escritas de EL CLIENTE, suprimirá copias bajo su control y documentará la eliminación, salvo conservación legal obligatoria, que deberá justificar, limitar y proteger. Las copias de respaldo seguirán el ciclo de retención aprobado, sin reutilización y con supresión al vencerlo; no se prometerá borrado inmediato que sea técnicamente imposible. El acta de transición especificará fechas, excepciones, responsables y constancia de cierre. Los datos en cuentas de EL CLIENTE permanecerán bajo su control.</w:t>
      </w:r>
    </w:p>
    <w:p>
      <w:r>
        <w:br w:type="page"/>
      </w:r>
    </w:p>
    <w:p>
      <w:pPr>
        <w:pStyle w:val="Heading1"/>
      </w:pPr>
      <w:r>
        <w:t>ANEXO D · DEFINICIONES PENDIENTES Y NIVELES DE SERVICIO</w:t>
      </w:r>
    </w:p>
    <w:p>
      <w:pPr>
        <w:pStyle w:val="Heading2"/>
      </w:pPr>
      <w:r>
        <w:t>D.1. Regla de control</w:t>
      </w:r>
    </w:p>
    <w:p>
      <w:pPr/>
      <w:r>
        <w:t>Este anexo hace visibles los extremos que la cotización deja abiertos. Una casilla vacía o una referencia histórica no equivale a aprobación, exención de la prestación incluida ni autorización para cobrarla aparte. Las definiciones necesarias para un hito deberán cerrarse antes de su prueba; las ampliaciones reales seguirán la cláusula 10. Si un SLA o remedio es condición esencial de contratación, deberá acordarse antes de firmar el contrato.</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pPr>
              <w:spacing w:after="80"/>
            </w:pPr>
            <w:r>
              <w:rPr>
                <w:sz w:val="18"/>
              </w:rPr>
              <w:t>Tema</w:t>
            </w:r>
          </w:p>
        </w:tc>
        <w:tc>
          <w:tcPr>
            <w:tcW w:type="dxa" w:w="3312"/>
          </w:tcPr>
          <w:p>
            <w:pPr>
              <w:spacing w:after="80"/>
            </w:pPr>
            <w:r>
              <w:rPr>
                <w:sz w:val="18"/>
              </w:rPr>
              <w:t>Definición necesaria y momento</w:t>
            </w:r>
          </w:p>
        </w:tc>
        <w:tc>
          <w:tcPr>
            <w:tcW w:type="dxa" w:w="3312"/>
          </w:tcPr>
          <w:p>
            <w:pPr>
              <w:spacing w:after="80"/>
            </w:pPr>
            <w:r>
              <w:rPr>
                <w:sz w:val="18"/>
              </w:rPr>
              <w:t>Estado al preparar el contrato</w:t>
            </w:r>
          </w:p>
        </w:tc>
      </w:tr>
      <w:tr>
        <w:tc>
          <w:tcPr>
            <w:tcW w:type="dxa" w:w="3312"/>
          </w:tcPr>
          <w:p>
            <w:pPr>
              <w:spacing w:after="80"/>
            </w:pPr>
            <w:r>
              <w:rPr>
                <w:sz w:val="18"/>
              </w:rPr>
              <w:t>Identidad, poderes, cesionario y avisos</w:t>
            </w:r>
          </w:p>
        </w:tc>
        <w:tc>
          <w:tcPr>
            <w:tcW w:type="dxa" w:w="3312"/>
          </w:tcPr>
          <w:p>
            <w:pPr>
              <w:spacing w:after="80"/>
            </w:pPr>
            <w:r>
              <w:rPr>
                <w:sz w:val="18"/>
              </w:rPr>
              <w:t>Completar sección 1 antes de firma. Lugar y jurisdicción: Naucalpan de Juárez, Estado de México.</w:t>
            </w:r>
          </w:p>
        </w:tc>
        <w:tc>
          <w:tcPr>
            <w:tcW w:type="dxa" w:w="3312"/>
          </w:tcPr>
          <w:p>
            <w:pPr>
              <w:spacing w:after="80"/>
            </w:pPr>
            <w:r>
              <w:rPr>
                <w:sz w:val="18"/>
              </w:rPr>
              <w:t>[DATOS DE IDENTIFICACIÓN PENDIENTES]</w:t>
            </w:r>
          </w:p>
        </w:tc>
      </w:tr>
      <w:tr>
        <w:tc>
          <w:tcPr>
            <w:tcW w:type="dxa" w:w="3312"/>
          </w:tcPr>
          <w:p>
            <w:pPr>
              <w:spacing w:after="80"/>
            </w:pPr>
            <w:r>
              <w:rPr>
                <w:sz w:val="18"/>
              </w:rPr>
              <w:t>Capacidad del prestador y arranque</w:t>
            </w:r>
          </w:p>
        </w:tc>
        <w:tc>
          <w:tcPr>
            <w:tcW w:type="dxa" w:w="3312"/>
          </w:tcPr>
          <w:p>
            <w:pPr>
              <w:spacing w:after="80"/>
            </w:pPr>
            <w:r>
              <w:rPr>
                <w:sz w:val="18"/>
              </w:rPr>
              <w:t>Confirmar capacidad antes de contratar; registrar pago, aprobación inicial, accesos y T0.</w:t>
            </w:r>
          </w:p>
        </w:tc>
        <w:tc>
          <w:tcPr>
            <w:tcW w:type="dxa" w:w="3312"/>
          </w:tcPr>
          <w:p>
            <w:pPr>
              <w:spacing w:after="80"/>
            </w:pPr>
            <w:r>
              <w:rPr>
                <w:sz w:val="18"/>
              </w:rPr>
              <w:t>[POR DOCUMENTAR]</w:t>
            </w:r>
          </w:p>
        </w:tc>
      </w:tr>
      <w:tr>
        <w:tc>
          <w:tcPr>
            <w:tcW w:type="dxa" w:w="3312"/>
          </w:tcPr>
          <w:p>
            <w:pPr>
              <w:spacing w:after="80"/>
            </w:pPr>
            <w:r>
              <w:rPr>
                <w:sz w:val="18"/>
              </w:rPr>
              <w:t>Recorridos y criterios</w:t>
            </w:r>
          </w:p>
        </w:tc>
        <w:tc>
          <w:tcPr>
            <w:tcW w:type="dxa" w:w="3312"/>
          </w:tcPr>
          <w:p>
            <w:pPr>
              <w:spacing w:after="80"/>
            </w:pPr>
            <w:r>
              <w:rPr>
                <w:sz w:val="18"/>
              </w:rPr>
              <w:t>Catálogos, estados, campos, coberturas, perfiles, dispositivos, tamaños y formatos; días 1–15.</w:t>
            </w:r>
          </w:p>
        </w:tc>
        <w:tc>
          <w:tcPr>
            <w:tcW w:type="dxa" w:w="3312"/>
          </w:tcPr>
          <w:p>
            <w:pPr>
              <w:spacing w:after="80"/>
            </w:pPr>
            <w:r>
              <w:rPr>
                <w:sz w:val="18"/>
              </w:rPr>
              <w:t>[POR APROBAR]</w:t>
            </w:r>
          </w:p>
        </w:tc>
      </w:tr>
      <w:tr>
        <w:tc>
          <w:tcPr>
            <w:tcW w:type="dxa" w:w="3312"/>
          </w:tcPr>
          <w:p>
            <w:pPr>
              <w:spacing w:after="80"/>
            </w:pPr>
            <w:r>
              <w:rPr>
                <w:sz w:val="18"/>
              </w:rPr>
              <w:t>Salud de expedientes</w:t>
            </w:r>
          </w:p>
        </w:tc>
        <w:tc>
          <w:tcPr>
            <w:tcW w:type="dxa" w:w="3312"/>
          </w:tcPr>
          <w:p>
            <w:pPr>
              <w:spacing w:after="80"/>
            </w:pPr>
            <w:r>
              <w:rPr>
                <w:sz w:val="18"/>
              </w:rPr>
              <w:t>Matriz, ponderaciones, excepciones, faltantes críticos y destinatarios; definición funcional.</w:t>
            </w:r>
          </w:p>
        </w:tc>
        <w:tc>
          <w:tcPr>
            <w:tcW w:type="dxa" w:w="3312"/>
          </w:tcPr>
          <w:p>
            <w:pPr>
              <w:spacing w:after="80"/>
            </w:pPr>
            <w:r>
              <w:rPr>
                <w:sz w:val="18"/>
              </w:rPr>
              <w:t>[POR APROBAR]</w:t>
            </w:r>
          </w:p>
        </w:tc>
      </w:tr>
      <w:tr>
        <w:tc>
          <w:tcPr>
            <w:tcW w:type="dxa" w:w="3312"/>
          </w:tcPr>
          <w:p>
            <w:pPr>
              <w:spacing w:after="80"/>
            </w:pPr>
            <w:r>
              <w:rPr>
                <w:sz w:val="18"/>
              </w:rPr>
              <w:t>Infraestructura y presupuesto</w:t>
            </w:r>
          </w:p>
        </w:tc>
        <w:tc>
          <w:tcPr>
            <w:tcW w:type="dxa" w:w="3312"/>
          </w:tcPr>
          <w:p>
            <w:pPr>
              <w:spacing w:after="80"/>
            </w:pPr>
            <w:r>
              <w:rPr>
                <w:sz w:val="18"/>
              </w:rPr>
              <w:t>Arquitectura, región, capacidad y servicios; dimensionar antes de comprometer consumos.</w:t>
            </w:r>
          </w:p>
        </w:tc>
        <w:tc>
          <w:tcPr>
            <w:tcW w:type="dxa" w:w="3312"/>
          </w:tcPr>
          <w:p>
            <w:pPr>
              <w:spacing w:after="80"/>
            </w:pPr>
            <w:r>
              <w:rPr>
                <w:sz w:val="18"/>
              </w:rPr>
              <w:t>[POR APROBAR]</w:t>
            </w:r>
          </w:p>
        </w:tc>
      </w:tr>
      <w:tr>
        <w:tc>
          <w:tcPr>
            <w:tcW w:type="dxa" w:w="3312"/>
          </w:tcPr>
          <w:p>
            <w:pPr>
              <w:spacing w:after="80"/>
            </w:pPr>
            <w:r>
              <w:rPr>
                <w:sz w:val="18"/>
              </w:rPr>
              <w:t>Capacidad inicial y recuperación</w:t>
            </w:r>
          </w:p>
        </w:tc>
        <w:tc>
          <w:tcPr>
            <w:tcW w:type="dxa" w:w="3312"/>
          </w:tcPr>
          <w:p>
            <w:pPr>
              <w:spacing w:after="80"/>
            </w:pPr>
            <w:r>
              <w:rPr>
                <w:sz w:val="18"/>
              </w:rPr>
              <w:t>Carga, umbrales medibles, retención, frecuencia de respaldo, pérdida máxima tolerable de datos y tiempo objetivo de recuperación; antes de pruebas del mes 2.</w:t>
            </w:r>
          </w:p>
        </w:tc>
        <w:tc>
          <w:tcPr>
            <w:tcW w:type="dxa" w:w="3312"/>
          </w:tcPr>
          <w:p>
            <w:pPr>
              <w:spacing w:after="80"/>
            </w:pPr>
            <w:r>
              <w:rPr>
                <w:sz w:val="18"/>
              </w:rPr>
              <w:t>[POR APROBAR Y PROBAR]</w:t>
            </w:r>
          </w:p>
        </w:tc>
      </w:tr>
      <w:tr>
        <w:tc>
          <w:tcPr>
            <w:tcW w:type="dxa" w:w="3312"/>
          </w:tcPr>
          <w:p>
            <w:pPr>
              <w:spacing w:after="80"/>
            </w:pPr>
            <w:r>
              <w:rPr>
                <w:sz w:val="18"/>
              </w:rPr>
              <w:t>Datos y proveedores</w:t>
            </w:r>
          </w:p>
        </w:tc>
        <w:tc>
          <w:tcPr>
            <w:tcW w:type="dxa" w:w="3312"/>
          </w:tcPr>
          <w:p>
            <w:pPr>
              <w:spacing w:after="80"/>
            </w:pPr>
            <w:r>
              <w:rPr>
                <w:sz w:val="18"/>
              </w:rPr>
              <w:t>Roles, avisos, bases legales, categorías, conservación, proveedores y transferencias; antes de datos reales.</w:t>
            </w:r>
          </w:p>
        </w:tc>
        <w:tc>
          <w:tcPr>
            <w:tcW w:type="dxa" w:w="3312"/>
          </w:tcPr>
          <w:p>
            <w:pPr>
              <w:spacing w:after="80"/>
            </w:pPr>
            <w:r>
              <w:rPr>
                <w:sz w:val="18"/>
              </w:rPr>
              <w:t>[POR DOCUMENTAR]</w:t>
            </w:r>
          </w:p>
        </w:tc>
      </w:tr>
      <w:tr>
        <w:tc>
          <w:tcPr>
            <w:tcW w:type="dxa" w:w="3312"/>
          </w:tcPr>
          <w:p>
            <w:pPr>
              <w:spacing w:after="80"/>
            </w:pPr>
            <w:r>
              <w:rPr>
                <w:sz w:val="18"/>
              </w:rPr>
              <w:t>Integraciones por cliente incluidas</w:t>
            </w:r>
          </w:p>
        </w:tc>
        <w:tc>
          <w:tcPr>
            <w:tcW w:type="dxa" w:w="3312"/>
          </w:tcPr>
          <w:p>
            <w:pPr>
              <w:spacing w:after="80"/>
            </w:pPr>
            <w:r>
              <w:rPr>
                <w:sz w:val="18"/>
              </w:rPr>
              <w:t>Identificar durante el proyecto los clientes, sus sistemas y los recorridos cubiertos, sin designar clientes específicos en este contrato. Documentar APIs, autorizaciones, equivalencias, dependencias y pruebas antes de implementar.</w:t>
            </w:r>
          </w:p>
        </w:tc>
        <w:tc>
          <w:tcPr>
            <w:tcW w:type="dxa" w:w="3312"/>
          </w:tcPr>
          <w:p>
            <w:pPr>
              <w:spacing w:after="80"/>
            </w:pPr>
            <w:r>
              <w:rPr>
                <w:sz w:val="18"/>
              </w:rPr>
              <w:t>[INCLUIDAS; ESPECIFICACIÓN PENDIENTE]</w:t>
            </w:r>
          </w:p>
        </w:tc>
      </w:tr>
      <w:tr>
        <w:tc>
          <w:tcPr>
            <w:tcW w:type="dxa" w:w="3312"/>
          </w:tcPr>
          <w:p>
            <w:pPr>
              <w:spacing w:after="80"/>
            </w:pPr>
            <w:r>
              <w:rPr>
                <w:sz w:val="18"/>
              </w:rPr>
              <w:t>Importación y exportación por cliente</w:t>
            </w:r>
          </w:p>
        </w:tc>
        <w:tc>
          <w:tcPr>
            <w:tcW w:type="dxa" w:w="3312"/>
          </w:tcPr>
          <w:p>
            <w:pPr>
              <w:spacing w:after="80"/>
            </w:pPr>
            <w:r>
              <w:rPr>
                <w:sz w:val="18"/>
              </w:rPr>
              <w:t>Incluidas en el precio. Acordar JSON, CSV o Excel según sistema, lotes, mapeo, duplicados, validación, volúmenes, errores y pruebas; conforme a A.6.</w:t>
            </w:r>
          </w:p>
        </w:tc>
        <w:tc>
          <w:tcPr>
            <w:tcW w:type="dxa" w:w="3312"/>
          </w:tcPr>
          <w:p>
            <w:pPr>
              <w:spacing w:after="80"/>
            </w:pPr>
            <w:r>
              <w:rPr>
                <w:sz w:val="18"/>
              </w:rPr>
              <w:t>[INCLUIDAS; FORMATO Y VOLUMEN POR DEFINIR]</w:t>
            </w:r>
          </w:p>
        </w:tc>
      </w:tr>
      <w:tr>
        <w:tc>
          <w:tcPr>
            <w:tcW w:type="dxa" w:w="3312"/>
          </w:tcPr>
          <w:p>
            <w:pPr>
              <w:spacing w:after="80"/>
            </w:pPr>
            <w:r>
              <w:rPr>
                <w:sz w:val="18"/>
              </w:rPr>
              <w:t>SLA de soporte</w:t>
            </w:r>
          </w:p>
        </w:tc>
        <w:tc>
          <w:tcPr>
            <w:tcW w:type="dxa" w:w="3312"/>
          </w:tcPr>
          <w:p>
            <w:pPr>
              <w:spacing w:after="80"/>
            </w:pPr>
            <w:r>
              <w:rPr>
                <w:sz w:val="18"/>
              </w:rPr>
              <w:t>Horarios, emergencias, severidades, respuesta, recuperación, escalamiento, medición y exclusiones; antes de exigir niveles numéricos.</w:t>
            </w:r>
          </w:p>
        </w:tc>
        <w:tc>
          <w:tcPr>
            <w:tcW w:type="dxa" w:w="3312"/>
          </w:tcPr>
          <w:p>
            <w:pPr>
              <w:spacing w:after="80"/>
            </w:pPr>
            <w:r>
              <w:rPr>
                <w:sz w:val="18"/>
              </w:rPr>
              <w:t>[PENDIENTE DE NEGOCIACIÓN]</w:t>
            </w:r>
          </w:p>
        </w:tc>
      </w:tr>
      <w:tr>
        <w:tc>
          <w:tcPr>
            <w:tcW w:type="dxa" w:w="3312"/>
          </w:tcPr>
          <w:p>
            <w:pPr>
              <w:spacing w:after="80"/>
            </w:pPr>
            <w:r>
              <w:rPr>
                <w:sz w:val="18"/>
              </w:rPr>
              <w:t>Penalizaciones o créditos</w:t>
            </w:r>
          </w:p>
        </w:tc>
        <w:tc>
          <w:tcPr>
            <w:tcW w:type="dxa" w:w="3312"/>
          </w:tcPr>
          <w:p>
            <w:pPr>
              <w:spacing w:after="80"/>
            </w:pPr>
            <w:r>
              <w:rPr>
                <w:sz w:val="18"/>
              </w:rPr>
              <w:t>Supuestos, prueba, cálculo, límites y procedimiento; únicamente por convenio firmado.</w:t>
            </w:r>
          </w:p>
        </w:tc>
        <w:tc>
          <w:tcPr>
            <w:tcW w:type="dxa" w:w="3312"/>
          </w:tcPr>
          <w:p>
            <w:pPr>
              <w:spacing w:after="80"/>
            </w:pPr>
            <w:r>
              <w:rPr>
                <w:sz w:val="18"/>
              </w:rPr>
              <w:t>[NO PACTADOS]</w:t>
            </w:r>
          </w:p>
        </w:tc>
      </w:tr>
      <w:tr>
        <w:tc>
          <w:tcPr>
            <w:tcW w:type="dxa" w:w="3312"/>
          </w:tcPr>
          <w:p>
            <w:pPr>
              <w:spacing w:after="80"/>
            </w:pPr>
            <w:r>
              <w:rPr>
                <w:sz w:val="18"/>
              </w:rPr>
              <w:t>Mantenimiento posterior</w:t>
            </w:r>
          </w:p>
        </w:tc>
        <w:tc>
          <w:tcPr>
            <w:tcW w:type="dxa" w:w="3312"/>
          </w:tcPr>
          <w:p>
            <w:pPr>
              <w:spacing w:after="80"/>
            </w:pPr>
            <w:r>
              <w:rPr>
                <w:sz w:val="18"/>
              </w:rPr>
              <w:t>Cobertura, precio definitivo, horario, duración y cancelación; solo si se contrata.</w:t>
            </w:r>
          </w:p>
        </w:tc>
        <w:tc>
          <w:tcPr>
            <w:tcW w:type="dxa" w:w="3312"/>
          </w:tcPr>
          <w:p>
            <w:pPr>
              <w:spacing w:after="80"/>
            </w:pPr>
            <w:r>
              <w:rPr>
                <w:sz w:val="18"/>
              </w:rPr>
              <w:t>[OPCIONAL / NO CONTRATADO]</w:t>
            </w:r>
          </w:p>
        </w:tc>
      </w:tr>
    </w:tbl>
    <w:p/>
    <w:p>
      <w:pPr>
        <w:pStyle w:val="Heading2"/>
      </w:pPr>
      <w:r>
        <w:t>D.2. Ficha para eventual SLA — no constituye un servicio contratado</w:t>
      </w:r>
    </w:p>
    <w:p>
      <w:pPr/>
      <w:r>
        <w:t>Vigencia y servicio cubierto: [POR ACORDAR]. Horario y zona: [POR ACORDAR]. Canales y contacto de emergencia: [POR ACORDAR]. Definiciones de severidad y quién clasifica: [POR ACORDAR].</w:t>
      </w:r>
    </w:p>
    <w:p>
      <w:pPr/>
      <w:r>
        <w:t>Incidente crítico: primera respuesta [POR ACORDAR]; objetivo de recuperación [POR ACORDAR]; escalamiento [POR ACORDAR]. Incidente alto: primera respuesta [POR ACORDAR]; recuperación [POR ACORDAR]. Incidente normal: primera respuesta [POR ACORDAR]; tratamiento [POR ACORDAR].</w:t>
      </w:r>
    </w:p>
    <w:p>
      <w:pPr/>
      <w:r>
        <w:t>Inicio y pausa del cómputo, mantenimiento programado, medición de disponibilidad, evidencia y reporte: [POR ACORDAR]. Remedios y procedimiento ante incumplimiento, si se pactan: [POR ACORDAR]. Las referencias de cuatro y ocho horas y dos días hábiles no rellenan estos campos. La solicitud de R360 de tiempos menores permanece pendiente hasta aceptación expresa.</w:t>
      </w:r>
    </w:p>
    <w:p>
      <w:pPr/>
      <w:r>
        <w:t>Toda ficha que se cierre deberá identificar fecha, versión, cobertura económica, relación con garantía y firmas de representantes facultados. Hasta entonces siguen vigentes las obligaciones de desarrollo, garantía, monitoreo, aviso de incidentes y subsanación del contrato, sin SLA numérico ni penalización automática.</w:t>
      </w:r>
    </w:p>
    <w:p>
      <w:r>
        <w:br w:type="page"/>
      </w:r>
    </w:p>
    <w:p>
      <w:pPr>
        <w:pStyle w:val="Heading1"/>
      </w:pPr>
      <w:r>
        <w:t>ANEXO E · FORMATOS DE CONTROL Y ACTAS</w:t>
      </w:r>
    </w:p>
    <w:p>
      <w:pPr>
        <w:pStyle w:val="Heading2"/>
      </w:pPr>
      <w:r>
        <w:t>E.1. Acta de arranque</w:t>
      </w:r>
    </w:p>
    <w:p>
      <w:pPr/>
      <w:r>
        <w:t>Contrato y versión: [ ]. Responsables y facultades: [ ]. Primer pago, fecha y comprobante: [ ]. Funciones iniciales aprobadas y evidencia: [ ]. Accesos necesarios recibidos, sin incluir contraseñas: [ ]. Pendientes no bloqueantes y responsables: [ ]. Fecha T0: [ ]. Fin días 1–15: [ ]. Hito día 45: [ ]. Cierre mes 2: [ ]. Cierre mes 6: [ ]. Reunión semanal y medio de registro: [ ]. Conformidad expresa de ambas partes: [ ].</w:t>
      </w:r>
    </w:p>
    <w:p>
      <w:pPr>
        <w:pStyle w:val="Heading2"/>
      </w:pPr>
      <w:r>
        <w:t>E.2. Acta de entrega y aceptación</w:t>
      </w:r>
    </w:p>
    <w:p>
      <w:pPr/>
      <w:r>
        <w:t>Hito, versión, fecha y ubicación: [ ]. Entregables y documentación: [ ]. Casos de prueba aprobados y evidencia: [ ]. Inicio y fin de revisión de cinco días hábiles: [ ]. Resultado expreso —aceptación, aceptación parcial o diferencias—: [ ]. Defectos críticos: [ ]. Otras observaciones, responsables y fechas: [ ]. Fecha de aceptación y comienzo de garantía: [ ]. Firma o aceptación escrita del responsable facultado: [ ]. El silencio no completa este formato.</w:t>
      </w:r>
    </w:p>
    <w:p>
      <w:pPr>
        <w:pStyle w:val="Heading2"/>
      </w:pPr>
      <w:r>
        <w:t>E.3. Solicitud y autorización de cambio</w:t>
      </w:r>
    </w:p>
    <w:p>
      <w:pPr/>
      <w:r>
        <w:t>Solicitante, fecha y motivo: [ ]. Alcance actual y cambio solicitado: [ ]. Entregables y exclusiones: [ ]. Impacto de precio e IVA: [ ]. Efecto sobre fechas y dependencias: [ ]. Criterios de aceptación: [ ]. Alternativas evaluadas: [ ]. Aprobación expresa por representantes facultados de ambas partes y fecha: [ ]. Sin aprobación no se modifica el contrato.</w:t>
      </w:r>
    </w:p>
    <w:p>
      <w:pPr>
        <w:pStyle w:val="Heading2"/>
      </w:pPr>
      <w:r>
        <w:t>E.4. Acta de cierre, transferencia y cesión</w:t>
      </w:r>
    </w:p>
    <w:p>
      <w:pPr/>
      <w:r>
        <w:t>Resultados y versiones, ubicación de código, diseños editables, configuraciones, diccionario, API, manuales y guías: [ ]. Pruebas integrales y de regresión: [ ]. Inventario de integraciones y componentes/licencias: [ ]. Entornos, cuentas, acceso administrativo y revocaciones: [ ]. Capacitaciones, temario, fechas y asistencia: [ ]. Aceptación final y garantía de integración: [ ]. Precio liquidado y comprobantes: [ ]. EL CESIONARIO identificado: [ ]. Fecha de eficacia, alcance y plazo de cesión conforme a la cláusula 14: [ ]. Firmas del cedente y cesionario: [ ]. No se asentarán derechos de terceros como cedidos ni se declarará liquidado un saldo no pagado.</w:t>
      </w:r>
    </w:p>
    <w:p>
      <w:pPr>
        <w:pStyle w:val="Heading2"/>
      </w:pPr>
      <w:r>
        <w:t>E.5. Acta de terminación, en su caso</w:t>
      </w:r>
    </w:p>
    <w:p>
      <w:pPr/>
      <w:r>
        <w:t>Causa, fecha y avisos: [ ]. Avances verificables e inventario de resultados pagados: [ ]. Anticipos, devengados y devolución o saldo: [ ]. Partidas controvertidas: [ ]. Entrega de información, código y derechos de resultados pagados: [ ]. Transición, accesos revocados y estado del sistema: [ ]. Conservación legal, respaldos y fechas de supresión: [ ]. Obligaciones sobrevivientes y firmas: [ ].</w:t>
      </w:r>
    </w:p>
    <w:p>
      <w:pPr>
        <w:pStyle w:val="Heading1"/>
      </w:pPr>
      <w:r>
        <w:t>CONSTANCIA DE INTEGRACIÓN DE ANEXOS</w:t>
      </w:r>
    </w:p>
    <w:p>
      <w:pPr/>
      <w:r>
        <w:t>LAS PARTES reconocen que los anexos A, B, C, D y E identificados en este documento forman parte del contrato. Las fichas operativas podrán completarse en los momentos previstos sin alterar por sí solas el precio, el alcance ni los derechos pactados. Cualquier obligación adicional requerirá la autorización correspondiente.</w:t>
      </w:r>
    </w:p>
    <w:p>
      <w:pPr/>
      <w:r>
        <w:t>EL CLIENTE — nombre y firma: ______________________________</w:t>
      </w:r>
    </w:p>
    <w:p>
      <w:pPr/>
      <w:r>
        <w:t>EL PRESTADOR — nombre y firma: ____________________________</w:t>
      </w:r>
    </w:p>
    <w:p>
      <w:pPr/>
      <w:r>
        <w:t>EL CESIONARIO, SI ES DISTINTO — nombre y firma: ____________________________</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R360 · v5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17B"/>
        <w:sz w:val="16"/>
      </w:rPr>
      <w:t>R360  |  CONTRATO DE DESARROLLO  |  BORRADOR PARA REVISIÓN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D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D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D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desarrollo Control de Servicios R360</dc:title>
  <dc:subject>Borrador basado en COT-R360-20261017-15; datos de firma pendientes</dc:subject>
  <dc:creator>Roberto Alejandro Guzmán Winzig</dc:creator>
  <cp:keywords/>
  <dc:description>generated by python-docx</dc:description>
  <cp:lastModifiedBy/>
  <cp:revision>1</cp:revision>
  <dcterms:created xsi:type="dcterms:W3CDTF">2013-12-23T23:15:00Z</dcterms:created>
  <dcterms:modified xsi:type="dcterms:W3CDTF">2013-12-23T23:15:00Z</dcterms:modified>
  <cp:category/>
</cp:coreProperties>
</file>