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一章-投标函与商务说明"/>
    <w:p>
      <w:pPr>
        <w:pStyle w:val="CoverTop"/>
      </w:pPr>
      <w:r>
        <w:t>示例智慧园区平台建设项目</w:t>
      </w:r>
    </w:p>
    <w:p>
      <w:pPr>
        <w:pStyle w:val="CoverTitle"/>
      </w:pPr>
      <w:r>
        <w:t>投 标 文 件</w:t>
      </w:r>
    </w:p>
    <w:p>
      <w:pPr>
        <w:pStyle w:val="CoverSub"/>
      </w:pPr>
      <w:r>
        <w:t>（商务标 · 技术标）</w:t>
      </w:r>
    </w:p>
    <w:p>
      <w:pPr>
        <w:pStyle w:val="CoverInfo"/>
      </w:pPr>
      <w:r>
        <w:t>投标人名称：示例科技有限公司</w:t>
      </w:r>
    </w:p>
    <w:p>
      <w:pPr>
        <w:pStyle w:val="CoverInfo"/>
      </w:pPr>
      <w:r>
        <w:t>法定代表人或授权代表：（签字）</w:t>
      </w:r>
    </w:p>
    <w:p>
      <w:pPr>
        <w:pStyle w:val="CoverDate"/>
      </w:pPr>
      <w:r>
        <w:t>二〇二六年九月</w:t>
      </w:r>
    </w:p>
    <w:p>
      <w:pPr>
        <w:pStyle w:val="CoverInfo"/>
      </w:pPr>
    </w:p>
    <w:p>
      <w:pPr>
        <w:pStyle w:val="TOCHeading"/>
        <w:pageBreakBefore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目　　录</w:t>
      </w:r>
    </w:p>
    <w:p>
      <w:pPr>
        <w:ind w:firstLine="0"/>
      </w:pPr>
      <w:r>
        <w:rPr>
          <w:rFonts w:ascii="Times New Roman" w:hAnsi="Times New Roman" w:eastAsia="宋体"/>
          <w:sz w:val="24"/>
        </w:rPr>
        <w:fldChar w:fldCharType="begin"/>
        <w:instrText xml:space="preserve">TOC \o "1-2" \h \z \u</w:instrText>
        <w:fldChar w:fldCharType="separate"/>
        <w:t>【目录将在打开文档时自动生成；若未显示请全选后按 F9】</w:t>
        <w:fldChar w:fldCharType="end"/>
      </w:r>
    </w:p>
    <w:p>
      <w:pPr>
        <w:ind w:firstLine="0"/>
        <w:sectPr>
          <w:footnotePr>
            <w:numRestart w:val="eachSect"/>
          </w:footnotePr>
          <w:pgSz w:h="16838" w:w="11906"/>
          <w:pgMar w:bottom="1440" w:left="1701" w:right="1474" w:top="1440"/>
          <w:pgNumType w:start="1"/>
        </w:sectPr>
      </w:pPr>
    </w:p>
    <w:p>
      <w:pPr>
        <w:pStyle w:val="Heading1"/>
        <w:pageBreakBefore w:val="0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投标函与商务说明</w:t>
      </w:r>
    </w:p>
    <w:bookmarkStart w:id="9" w:name="致招标人"/>
    <w:p>
      <w:pPr>
        <w:pStyle w:val="Heading2"/>
      </w:pPr>
      <w:r>
        <w:t xml:space="preserve">1.1 </w:t>
      </w:r>
      <w:r>
        <w:rPr>
          <w:rFonts w:hint="eastAsia"/>
        </w:rPr>
        <w:t xml:space="preserve">致招标人</w:t>
      </w:r>
    </w:p>
    <w:p>
      <w:pPr>
        <w:pStyle w:val="FirstParagraph"/>
      </w:pPr>
      <w:r>
        <w:rPr>
          <w:rFonts w:hint="eastAsia"/>
          <w:b/>
          <w:bCs/>
        </w:rPr>
        <w:t xml:space="preserve">示例科技有限公司</w:t>
      </w:r>
      <w:r>
        <w:t xml:space="preserve"> </w:t>
      </w:r>
      <w:r>
        <w:rPr>
          <w:rFonts w:hint="eastAsia"/>
        </w:rPr>
        <w:t xml:space="preserve">谨按招标文件要求提交本投标文件，对招标范围、工期与质量要求作出完全响应，并承诺所填内容真实有效。</w:t>
      </w:r>
    </w:p>
    <w:p>
      <w:pPr>
        <w:pStyle w:val="Lead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示例智慧园区平台建设项目</w:t>
      </w:r>
      <w:r>
        <w:br/>
      </w:r>
      <w:r>
        <w:rPr>
          <w:rFonts w:hint="eastAsia"/>
          <w:b/>
          <w:bCs/>
        </w:rPr>
        <w:t xml:space="preserve">投标人名称：</w:t>
      </w:r>
      <w:r>
        <w:t xml:space="preserve"> </w:t>
      </w:r>
      <w:r>
        <w:rPr>
          <w:rFonts w:hint="eastAsia"/>
        </w:rPr>
        <w:t xml:space="preserve">示例科技有限公司</w:t>
      </w:r>
      <w:r>
        <w:br/>
      </w:r>
      <w:r>
        <w:rPr>
          <w:rFonts w:hint="eastAsia"/>
          <w:b/>
          <w:bCs/>
        </w:rPr>
        <w:t xml:space="preserve">投标有效期：</w:t>
      </w:r>
      <w:r>
        <w:t xml:space="preserve"> </w:t>
      </w:r>
      <w:r>
        <w:rPr>
          <w:rFonts w:hint="eastAsia"/>
        </w:rPr>
        <w:t xml:space="preserve">自开标之日起</w:t>
      </w:r>
      <w:r>
        <w:t xml:space="preserve"> 90 </w:t>
      </w:r>
      <w:r>
        <w:rPr>
          <w:rFonts w:hint="eastAsia"/>
        </w:rPr>
        <w:t xml:space="preserve">日历天</w:t>
      </w:r>
    </w:p>
    <w:p>
      <w:pPr>
        <w:pStyle w:val="TableCaption"/>
        <w:keepNext/>
        <w:spacing w:before="120" w:after="80"/>
        <w:ind w:firstLine="0" w:left="0"/>
        <w:jc w:val="center"/>
      </w:pP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表</w:t>
      </w:r>
      <w:r>
        <w:rPr>
          <w:rFonts w:ascii="Times New Roman" w:hAnsi="Times New Roman" w:eastAsia="宋体"/>
          <w:b w:val="0"/>
          <w:i w:val="0"/>
          <w:color w:val="404040"/>
          <w:sz w:val="21"/>
        </w:rPr>
        <w:t xml:space="preserve"> 1-1 </w:t>
      </w: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商务条款响应表</w:t>
      </w:r>
    </w:p>
    <w:tbl>
      <w:tblPr>
        <w:tblStyle w:val="Table"/>
        <w:tblW w:type="pct" w:w="500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条款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招标要求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投标响应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工期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180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日历天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完全响应，承诺</w:t>
            </w:r>
            <w:r>
              <w:rPr>
                <w:rFonts w:ascii="Times New Roman" w:hAnsi="Times New Roman" w:eastAsia="宋体"/>
                <w:sz w:val="21"/>
              </w:rPr>
              <w:t xml:space="preserve"> 170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日历天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质保期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年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优于要求，提供</w:t>
            </w:r>
            <w:r>
              <w:rPr>
                <w:rFonts w:ascii="Times New Roman" w:hAnsi="Times New Roman" w:eastAsia="宋体"/>
                <w:sz w:val="21"/>
              </w:rPr>
              <w:t xml:space="preserve"> 3 </w:t>
            </w:r>
            <w:r>
              <w:rPr>
                <w:rFonts w:hint="eastAsia" w:ascii="Times New Roman" w:hAnsi="Times New Roman" w:eastAsia="宋体"/>
                <w:sz w:val="21"/>
              </w:rPr>
              <w:t xml:space="preserve">年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付款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按进度节点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完全响应</w:t>
            </w:r>
          </w:p>
        </w:tc>
      </w:tr>
    </w:tbl>
    <w:bookmarkEnd w:id="9"/>
    <w:bookmarkStart w:id="10" w:name="资质与业绩"/>
    <w:p>
      <w:pPr>
        <w:pStyle w:val="Heading2"/>
      </w:pPr>
      <w:r>
        <w:t xml:space="preserve">1.2 </w:t>
      </w:r>
      <w:r>
        <w:rPr>
          <w:rFonts w:hint="eastAsia"/>
        </w:rPr>
        <w:t xml:space="preserve">资质与业绩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电子与智能化工程专业承包资质；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近三年同类项目业绩</w:t>
      </w:r>
      <w:r>
        <w:t xml:space="preserve"> 3 </w:t>
      </w:r>
      <w:r>
        <w:rPr>
          <w:rFonts w:hint="eastAsia"/>
        </w:rPr>
        <w:t xml:space="preserve">项；</w:t>
      </w:r>
    </w:p>
    <w:p>
      <w:pPr>
        <w:pStyle w:val="Compact"/>
        <w:numPr>
          <w:ilvl w:val="0"/>
          <w:numId w:val="1001"/>
        </w:numPr>
      </w:pPr>
      <w:r>
        <w:t xml:space="preserve">ISO9001 </w:t>
      </w:r>
      <w:r>
        <w:rPr>
          <w:rFonts w:hint="eastAsia"/>
        </w:rPr>
        <w:t xml:space="preserve">质量管理体系认证。</w:t>
      </w:r>
    </w:p>
    <w:bookmarkEnd w:id="10"/>
    <w:bookmarkEnd w:id="11"/>
    <w:bookmarkStart w:id="14" w:name="第二章-技术方案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技术方案</w:t>
      </w:r>
    </w:p>
    <w:bookmarkStart w:id="12" w:name="总体架构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平台采用”感知—平台—应用”三层架构，感知层负责多源数据接入，平台层提供数据治理与服务编排，应用层面向管理端与移动端交付业务功能。</w:t>
      </w:r>
    </w:p>
    <w:p>
      <w:pPr>
        <w:pStyle w:val="TableCaption"/>
        <w:keepNext/>
        <w:spacing w:before="120" w:after="80"/>
        <w:ind w:firstLine="0" w:left="0"/>
        <w:jc w:val="center"/>
      </w:pP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表</w:t>
      </w:r>
      <w:r>
        <w:rPr>
          <w:rFonts w:ascii="Times New Roman" w:hAnsi="Times New Roman" w:eastAsia="宋体"/>
          <w:b w:val="0"/>
          <w:i w:val="0"/>
          <w:color w:val="404040"/>
          <w:sz w:val="21"/>
        </w:rPr>
        <w:t xml:space="preserve"> 2-1 </w:t>
      </w:r>
      <w:r>
        <w:rPr>
          <w:rFonts w:hint="eastAsia" w:ascii="Times New Roman" w:hAnsi="Times New Roman" w:eastAsia="宋体"/>
          <w:b w:val="0"/>
          <w:i w:val="0"/>
          <w:color w:val="404040"/>
          <w:sz w:val="21"/>
        </w:rPr>
        <w:t xml:space="preserve">模块清单</w:t>
      </w:r>
    </w:p>
    <w:tbl>
      <w:tblPr>
        <w:tblStyle w:val="Table"/>
        <w:tblW w:type="pct" w:w="500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模块</w:t>
            </w:r>
          </w:p>
        </w:tc>
        <w:tc>
          <w:tcPr>
            <w:shd w:val="clear" w:color="auto" w:fill="EDEDED"/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接入层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支持主流协议设备接入与边缘预处理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平台层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数据治理、服务编排、统一鉴权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应用层</w:t>
            </w:r>
          </w:p>
        </w:tc>
        <w:tc>
          <w:tcPr>
            <w:vAlign w:val="center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rFonts w:hint="eastAsia" w:ascii="Times New Roman" w:hAnsi="Times New Roman" w:eastAsia="宋体"/>
                <w:sz w:val="21"/>
              </w:rPr>
              <w:t xml:space="preserve">管理端看板与移动端巡检</w:t>
            </w:r>
          </w:p>
        </w:tc>
      </w:tr>
    </w:tbl>
    <w:bookmarkEnd w:id="12"/>
    <w:bookmarkStart w:id="13" w:name="实施计划"/>
    <w:p>
      <w:pPr>
        <w:pStyle w:val="Heading2"/>
      </w:pPr>
      <w:r>
        <w:t xml:space="preserve">2.2 </w:t>
      </w:r>
      <w:r>
        <w:rPr>
          <w:rFonts w:hint="eastAsia"/>
        </w:rPr>
        <w:t xml:space="preserve">实施计划</w:t>
      </w:r>
    </w:p>
    <w:p>
      <w:pPr>
        <w:pStyle w:val="FirstParagraph"/>
      </w:pPr>
      <w:r>
        <w:rPr>
          <w:rFonts w:hint="eastAsia"/>
        </w:rPr>
        <w:t xml:space="preserve">项目分三阶段实施：深化设计、开发部署、试运行与验收；每阶段设置量化交付物与评审节点，确保进度可控、质量可验。</w:t>
      </w:r>
    </w:p>
    <w:bookmarkEnd w:id="13"/>
    <w:bookmarkEnd w:id="14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440" w:left="1701" w:right="1474" w:top="144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sz w:val="18"/>
      </w:rPr>
      <w:t xml:space="preserve">— </w:t>
    </w: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  <w:ind w:firstLine="0"/>
      <w:jc w:val="center"/>
    </w:pPr>
    <w:r>
      <w:rPr>
        <w:rFonts w:ascii="Times New Roman" w:hAnsi="Times New Roman" w:eastAsia="宋体"/>
        <w:color w:val="595959"/>
        <w:sz w:val="18"/>
      </w:rPr>
      <w:t>示例智慧园区平台建设项目 · 投标文件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40" w:lineRule="auto"/>
      <w:jc w:val="both"/>
    </w:pPr>
    <w:rPr>
      <w:rFonts w:ascii="Times New Roman" w:cs="Times New Roman" w:eastAsia="宋体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240" w:lineRule="auto"/>
      <w:ind w:firstLine="480"/>
      <w:jc w:val="both"/>
    </w:pPr>
    <w:rPr>
      <w:rFonts w:ascii="Times New Roman" w:cs="Times New Roman" w:eastAsia="宋体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40" w:lineRule="auto"/>
      <w:ind w:firstLine="480"/>
      <w:jc w:val="both"/>
    </w:pPr>
    <w:rPr>
      <w:rFonts w:ascii="Times New Roman" w:cs="Times New Roman" w:eastAsia="宋体" w:hAnsi="Times New Roman"/>
      <w:sz w:val="24"/>
    </w:rPr>
  </w:style>
  <w:style w:customStyle="1" w:styleId="Compact" w:type="paragraph">
    <w:name w:val="Compact"/>
    <w:basedOn w:val="BodyText"/>
    <w:qFormat/>
    <w:pPr>
      <w:spacing w:after="80" w:before="0" w:line="240" w:lineRule="auto"/>
      <w:jc w:val="both"/>
    </w:pPr>
    <w:rPr>
      <w:rFonts w:ascii="Times New Roman" w:cs="Times New Roman" w:eastAsia="宋体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120" w:line="312" w:lineRule="auto"/>
      <w:contextualSpacing/>
      <w:jc w:val="center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 w:before="120" w:line="312" w:lineRule="auto"/>
      <w:jc w:val="center"/>
    </w:pPr>
    <w:rPr>
      <w:rFonts w:ascii="Times New Roman" w:cs="Times New Roman" w:cstheme="majorBidi" w:eastAsia="黑体" w:eastAsiaTheme="majorEastAsia" w:hAnsi="Times New Roman"/>
      <w:b w:val="0"/>
      <w:color w:val="00000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280" w:before="360" w:line="276" w:lineRule="auto"/>
      <w:jc w:val="center"/>
      <w:outlineLvl w:val="0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280" w:line="276" w:lineRule="auto"/>
      <w:jc w:val="left"/>
      <w:outlineLvl w:val="1"/>
    </w:pPr>
    <w:rPr>
      <w:rFonts w:ascii="Times New Roman" w:asciiTheme="majorHAnsi" w:cs="Times New Roman" w:cstheme="majorBidi" w:eastAsia="黑体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 w:line="276" w:lineRule="auto"/>
      <w:jc w:val="left"/>
      <w:outlineLvl w:val="2"/>
    </w:pPr>
    <w:rPr>
      <w:rFonts w:ascii="Times New Roman" w:cs="Times New Roman" w:cstheme="majorBidi" w:eastAsia="黑体" w:eastAsiaTheme="majorEastAsia" w:hAnsi="Times New Roman"/>
      <w:b/>
      <w:color w:val="000000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jc w:val="left"/>
      <w:outlineLvl w:val="3"/>
    </w:pPr>
    <w:rPr>
      <w:rFonts w:ascii="Times New Roman" w:cs="Times New Roman" w:cstheme="majorBidi" w:eastAsia="黑体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20" w:line="276" w:lineRule="auto"/>
      <w:jc w:val="left"/>
      <w:outlineLvl w:val="4"/>
    </w:pPr>
    <w:rPr>
      <w:rFonts w:ascii="Times New Roman" w:cs="Times New Roman" w:cstheme="majorBidi" w:eastAsia="黑体" w:eastAsiaTheme="majorEastAsia" w:hAnsi="Times New Roman"/>
      <w:b/>
      <w:color w:val="000000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60" w:line="240" w:lineRule="auto"/>
      <w:ind w:firstLine="0" w:left="420" w:right="240"/>
      <w:jc w:val="both"/>
    </w:pPr>
    <w:rPr>
      <w:rFonts w:ascii="Times New Roman" w:cs="Times New Roman" w:eastAsia="宋体" w:hAnsi="Times New Roman"/>
      <w:b w:val="0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6" w:val="single"/>
        <w:left w:color="808080" w:space="0" w:sz="6" w:val="single"/>
        <w:bottom w:color="808080" w:space="0" w:sz="6" w:val="single"/>
        <w:right w:color="808080" w:space="0" w:sz="6" w:val="single"/>
        <w:insideH w:color="808080" w:space="0" w:sz="6" w:val="single"/>
        <w:insideV w:color="808080" w:space="0" w:sz="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TableCaption" w:type="paragraph">
    <w:name w:val="Table Caption"/>
    <w:basedOn w:val="Caption"/>
    <w:pPr>
      <w:keepNext/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ImageCaption" w:type="paragraph">
    <w:name w:val="Image Caption"/>
    <w:basedOn w:val="Caption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Figure" w:type="paragraph">
    <w:name w:val="Figure"/>
    <w:basedOn w:val="Normal"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CaptionedFigure" w:type="paragraph">
    <w:name w:val="Captioned Figure"/>
    <w:basedOn w:val="Figure"/>
    <w:pPr>
      <w:keepNext/>
      <w:spacing w:after="200" w:before="60" w:line="240" w:lineRule="auto"/>
      <w:jc w:val="center"/>
    </w:pPr>
    <w:rPr>
      <w:rFonts w:ascii="Times New Roman" w:cs="Times New Roman" w:eastAsia="宋体" w:hAnsi="Times New Roman"/>
      <w:b w:val="0"/>
      <w:i w:val="0"/>
      <w:color w:val="40404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宋体" w:eastAsiaTheme="majorEastAsia" w:hAnsi="Times New Roman" w:hAnsiTheme="majorHAnsi"/>
      <w:b/>
      <w:bCs w:val="0"/>
      <w:color w:val="000000"/>
      <w:sz w:val="24"/>
    </w:rPr>
  </w:style>
  <w:style w:customStyle="1" w:styleId="CoverTop" w:type="paragraph">
    <w:name w:val="CoverTop"/>
    <w:basedOn w:val="Normal"/>
    <w:qFormat/>
    <w:pPr>
      <w:spacing w:after="120" w:before="0" w:line="360" w:lineRule="auto"/>
      <w:jc w:val="center"/>
    </w:pPr>
    <w:rPr>
      <w:rFonts w:ascii="Times New Roman" w:cs="Times New Roman" w:eastAsia="黑体" w:hAnsi="Times New Roman"/>
      <w:b/>
      <w:sz w:val="32"/>
    </w:rPr>
  </w:style>
  <w:style w:customStyle="1" w:styleId="CoverTitle" w:type="paragraph">
    <w:name w:val="CoverTitle"/>
    <w:basedOn w:val="Normal"/>
    <w:qFormat/>
    <w:pPr>
      <w:spacing w:after="400" w:before="800" w:line="336" w:lineRule="auto"/>
      <w:jc w:val="center"/>
    </w:pPr>
    <w:rPr>
      <w:rFonts w:ascii="Times New Roman" w:cs="Times New Roman" w:eastAsia="黑体" w:hAnsi="Times New Roman"/>
      <w:b/>
      <w:sz w:val="60"/>
    </w:rPr>
  </w:style>
  <w:style w:customStyle="1" w:styleId="CoverSub" w:type="paragraph">
    <w:name w:val="CoverSub"/>
    <w:basedOn w:val="Normal"/>
    <w:qFormat/>
    <w:pPr>
      <w:spacing w:after="600" w:before="200" w:line="336" w:lineRule="auto"/>
      <w:jc w:val="center"/>
    </w:pPr>
    <w:rPr>
      <w:rFonts w:ascii="Times New Roman" w:cs="Times New Roman" w:eastAsia="黑体" w:hAnsi="Times New Roman"/>
      <w:b/>
      <w:sz w:val="40"/>
    </w:rPr>
  </w:style>
  <w:style w:customStyle="1" w:styleId="CoverInfo" w:type="paragraph">
    <w:name w:val="CoverInfo"/>
    <w:basedOn w:val="Normal"/>
    <w:qFormat/>
    <w:pPr>
      <w:spacing w:after="80" w:before="80" w:line="432" w:lineRule="auto"/>
      <w:jc w:val="center"/>
    </w:pPr>
    <w:rPr>
      <w:rFonts w:ascii="Times New Roman" w:cs="Times New Roman" w:eastAsia="宋体" w:hAnsi="Times New Roman"/>
      <w:b w:val="0"/>
      <w:sz w:val="28"/>
    </w:rPr>
  </w:style>
  <w:style w:customStyle="1" w:styleId="CoverDate" w:type="paragraph">
    <w:name w:val="CoverDate"/>
    <w:basedOn w:val="Normal"/>
    <w:qFormat/>
    <w:pPr>
      <w:spacing w:after="0" w:before="600" w:line="360" w:lineRule="auto"/>
      <w:jc w:val="center"/>
    </w:pPr>
    <w:rPr>
      <w:rFonts w:ascii="Times New Roman" w:cs="Times New Roman" w:eastAsia="宋体" w:hAnsi="Times New Roman"/>
      <w:b w:val="0"/>
      <w:sz w:val="28"/>
    </w:rPr>
  </w:style>
  <w:style w:customStyle="1" w:styleId="NoIndent" w:type="paragraph">
    <w:name w:val="NoIndent"/>
    <w:basedOn w:val="Normal"/>
    <w:qFormat/>
    <w:pPr>
      <w:spacing w:after="120" w:before="0" w:line="240" w:lineRule="auto"/>
      <w:jc w:val="both"/>
    </w:pPr>
    <w:rPr>
      <w:rFonts w:ascii="Times New Roman" w:cs="Times New Roman" w:eastAsia="宋体" w:hAnsi="Times New Roman"/>
      <w:b w:val="0"/>
      <w:sz w:val="24"/>
    </w:rPr>
  </w:style>
  <w:style w:customStyle="1" w:styleId="Lead" w:type="paragraph">
    <w:name w:val="Lead"/>
    <w:basedOn w:val="Normal"/>
    <w:qFormat/>
    <w:pPr>
      <w:spacing w:after="160" w:before="80" w:line="240" w:lineRule="auto"/>
      <w:jc w:val="left"/>
    </w:pPr>
    <w:rPr>
      <w:rFonts w:ascii="Times New Roman" w:cs="Times New Roman" w:eastAsia="宋体" w:hAnsi="Times New Roman"/>
      <w:b w:val="0"/>
      <w:color w:val="333333"/>
      <w:sz w:val="24"/>
    </w:rPr>
  </w:style>
  <w:style w:customStyle="1" w:styleId="SmallNote" w:type="paragraph">
    <w:name w:val="SmallNote"/>
    <w:basedOn w:val="Normal"/>
    <w:qFormat/>
    <w:pPr>
      <w:spacing w:after="160" w:before="40" w:line="240" w:lineRule="auto"/>
      <w:jc w:val="left"/>
    </w:pPr>
    <w:rPr>
      <w:rFonts w:ascii="Times New Roman" w:cs="Times New Roman" w:eastAsia="宋体" w:hAnsi="Times New Roman"/>
      <w:b w:val="0"/>
      <w:color w:val="595959"/>
      <w:sz w:val="21"/>
    </w:rPr>
  </w:style>
  <w:style w:customStyle="1" w:styleId="FigurePara" w:type="paragraph">
    <w:name w:val="FigurePara"/>
    <w:basedOn w:val="Normal"/>
    <w:qFormat/>
    <w:pPr>
      <w:spacing w:after="40" w:before="120" w:line="240" w:lineRule="auto"/>
      <w:jc w:val="center"/>
    </w:pPr>
    <w:rPr>
      <w:rFonts w:ascii="Times New Roman" w:cs="Times New Roman" w:eastAsia="宋体" w:hAnsi="Times New Roman"/>
      <w:b w:val="0"/>
      <w:sz w:val="24"/>
    </w:rPr>
  </w:style>
  <w:style w:customStyle="1" w:styleId="FigureCaption" w:type="paragraph">
    <w:name w:val="FigureCaption"/>
    <w:basedOn w:val="Normal"/>
    <w:qFormat/>
    <w:pPr>
      <w:spacing w:after="200" w:before="60" w:line="240" w:lineRule="auto"/>
      <w:jc w:val="center"/>
    </w:pPr>
    <w:rPr>
      <w:rFonts w:ascii="Times New Roman" w:cs="Times New Roman" w:eastAsia="宋体" w:hAnsi="Times New Roman"/>
      <w:b w:val="0"/>
      <w:color w:val="404040"/>
      <w:sz w:val="21"/>
    </w:rPr>
  </w:style>
  <w:style w:type="paragraph" w:customStyle="1" w:styleId="TableCaption">
    <w:name w:val="TableCaption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示例投标文件</dc:title>
  <dc:creator>示例科技有限公司</dc:creator>
  <cp:keywords/>
  <dcterms:created xsi:type="dcterms:W3CDTF">2026-09-19T17:32:51Z</dcterms:created>
  <dcterms:modified xsi:type="dcterms:W3CDTF">2026-09-19T17:32:51Z</dcterms:modified>
  <dc:subject>投标文件</dc:subject>
  <dc:description>由 texere 渲染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