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92441" w14:textId="7EDE5B7A" w:rsidR="000E7D31" w:rsidRDefault="00E92867">
      <w:pPr>
        <w:spacing w:after="360"/>
        <w:jc w:val="center"/>
        <w:rPr>
          <w:rFonts w:ascii="黑体" w:eastAsia="黑体" w:hAnsi="黑体" w:cs="黑体"/>
          <w:b/>
          <w:bCs/>
          <w:color w:val="000000"/>
          <w:sz w:val="32"/>
          <w:szCs w:val="32"/>
        </w:rPr>
      </w:pPr>
      <w:r>
        <w:rPr>
          <w:rFonts w:ascii="黑体" w:eastAsia="黑体" w:hAnsi="黑体" w:cs="黑体"/>
          <w:b/>
          <w:bCs/>
          <w:color w:val="000000"/>
          <w:sz w:val="32"/>
          <w:szCs w:val="32"/>
        </w:rPr>
        <w:t>网络宠物交易乱象的动物卫生法制审视</w:t>
      </w:r>
    </w:p>
    <w:p w14:paraId="336849F6" w14:textId="46EDEEE3" w:rsidR="00C62BBB" w:rsidRPr="00C62BBB" w:rsidRDefault="00C62BBB">
      <w:pPr>
        <w:spacing w:after="360"/>
        <w:jc w:val="center"/>
        <w:rPr>
          <w:sz w:val="21"/>
          <w:szCs w:val="21"/>
        </w:rPr>
      </w:pPr>
      <w:r w:rsidRPr="00C62BBB">
        <w:rPr>
          <w:rFonts w:cs="黑体" w:hint="eastAsia"/>
          <w:color w:val="000000"/>
        </w:rPr>
        <w:t xml:space="preserve">吕启蒙 </w:t>
      </w:r>
      <w:r w:rsidRPr="00C62BBB">
        <w:rPr>
          <w:rFonts w:cs="黑体"/>
          <w:color w:val="000000"/>
        </w:rPr>
        <w:t>3230102953</w:t>
      </w:r>
    </w:p>
    <w:p w14:paraId="7EE08FE0" w14:textId="77777777" w:rsidR="000E7D31" w:rsidRDefault="00E92867" w:rsidP="00B91A3D">
      <w:pPr>
        <w:spacing w:after="120" w:line="360" w:lineRule="auto"/>
      </w:pPr>
      <w:r>
        <w:rPr>
          <w:rFonts w:ascii="黑体" w:eastAsia="黑体" w:hAnsi="黑体" w:cs="黑体"/>
          <w:b/>
          <w:bCs/>
          <w:color w:val="000000"/>
        </w:rPr>
        <w:t>摘要：</w:t>
      </w:r>
      <w:r>
        <w:t>近年来网络宠物交易迅猛发展，但活体动物“无证寄递”乱象频发，暴露出检疫制度落实不足、跨区域监管缺失等问题。本文以江苏徐州宠物繁育基地及辽宁葫芦岛非法邮寄“三有”保护鸟类案为切入点，结合《中华人民共和国动物防疫法》等现行法规，从动物卫生法制角度评判该现象“错在何处”，并从立法衔接、基层执法容量、跨部门数据壁垒及违法成本四个层面剖析其制度成因。在此基础上，文章提出完善电商平台审核责任、推行电子检疫证明、构建跨部门数据共享机制及细化活体运输卫生标准等治理建议，并对数字化监管可能面临的行政救济与区域发展不平衡挑战进行展望，以期为构建“繁育—检疫—销售—运输—消费”全链条动物卫生治理体系提供参考。</w:t>
      </w:r>
    </w:p>
    <w:p w14:paraId="07FC8268" w14:textId="694E564E" w:rsidR="000E7D31" w:rsidRDefault="00E92867" w:rsidP="00B91A3D">
      <w:pPr>
        <w:spacing w:after="120" w:line="360" w:lineRule="auto"/>
      </w:pPr>
      <w:r>
        <w:rPr>
          <w:rFonts w:ascii="黑体" w:eastAsia="黑体" w:hAnsi="黑体" w:cs="黑体"/>
          <w:b/>
          <w:bCs/>
          <w:color w:val="000000"/>
        </w:rPr>
        <w:t>关键词：</w:t>
      </w:r>
      <w:r>
        <w:t>网络宠物交易；动物防疫法；检疫制度；基层执法；跨部门协同</w:t>
      </w:r>
    </w:p>
    <w:p w14:paraId="1FC43B0B" w14:textId="7BD44FA2" w:rsidR="00AC2E78" w:rsidRPr="00AC2E78" w:rsidRDefault="00AC2E78" w:rsidP="00AC2E78">
      <w:pPr>
        <w:spacing w:after="120"/>
        <w:rPr>
          <w:rFonts w:ascii="Times New Roman" w:hAnsi="Times New Roman" w:cs="Times New Roman" w:hint="eastAsia"/>
        </w:rPr>
      </w:pPr>
      <w:r w:rsidRPr="00AC2E78">
        <w:rPr>
          <w:rFonts w:ascii="Times New Roman" w:hAnsi="Times New Roman" w:cs="Times New Roman"/>
          <w:b/>
          <w:bCs/>
        </w:rPr>
        <w:t>Abstract</w:t>
      </w:r>
      <w:r w:rsidRPr="00AC2E78">
        <w:rPr>
          <w:rFonts w:ascii="Times New Roman" w:hAnsi="Times New Roman" w:cs="Times New Roman"/>
        </w:rPr>
        <w:t xml:space="preserve">: In recent years, online pet trading has developed rapidly, yet the rampant phenomenon of "unlicensed shipping" of live animals has exposed issues such as inadequate implementation of quarantine systems and a lack of cross-regional supervision. Taking as entry points the cases of a pet breeding base in Xuzhou, Jiangsu, and the illegal mailing of "Three Has" protected bird species from </w:t>
      </w:r>
      <w:proofErr w:type="spellStart"/>
      <w:r w:rsidRPr="00AC2E78">
        <w:rPr>
          <w:rFonts w:ascii="Times New Roman" w:hAnsi="Times New Roman" w:cs="Times New Roman"/>
        </w:rPr>
        <w:t>Huludao</w:t>
      </w:r>
      <w:proofErr w:type="spellEnd"/>
      <w:r w:rsidRPr="00AC2E78">
        <w:rPr>
          <w:rFonts w:ascii="Times New Roman" w:hAnsi="Times New Roman" w:cs="Times New Roman"/>
        </w:rPr>
        <w:t>, Liaoning, and in conjunction with current laws and regulations including the Animal Epidemic Prevention Law of the People's Republic of China, this paper evaluates from the perspective of animal health legal framework where such phenomena are "wrong." It then analyzes the institutional causes at four levels: legislative coordination, grassroots law enforcement capacity, cross-departmental data barriers, and the cost of illegal acts. On this basis, the article proposes governance recommendations including improving e-commerce platform audit responsibilities, promoting electronic quarantine certificates, establishing cross-departmental data sharing mechanisms, and refining hygiene standards for live animal transport. It also looks ahead to the challenges that digital supervision may face in terms of administrative remedies and regional development imbalances, with a view to providing reference for constructing a "breeding–quarantine–sales–transport–consumption" full-chain animal health governance system.</w:t>
      </w:r>
    </w:p>
    <w:p w14:paraId="7D51CF84" w14:textId="4619E9AA" w:rsidR="00AC2E78" w:rsidRPr="00AC2E78" w:rsidRDefault="00AC2E78" w:rsidP="00AC2E78">
      <w:pPr>
        <w:spacing w:after="120"/>
        <w:rPr>
          <w:rFonts w:ascii="Times New Roman" w:hAnsi="Times New Roman" w:cs="Times New Roman"/>
        </w:rPr>
      </w:pPr>
      <w:r w:rsidRPr="00AC2E78">
        <w:rPr>
          <w:rFonts w:ascii="Times New Roman" w:hAnsi="Times New Roman" w:cs="Times New Roman"/>
          <w:b/>
          <w:bCs/>
        </w:rPr>
        <w:t>Keywords</w:t>
      </w:r>
      <w:r w:rsidRPr="00AC2E78">
        <w:rPr>
          <w:rFonts w:ascii="Times New Roman" w:hAnsi="Times New Roman" w:cs="Times New Roman"/>
        </w:rPr>
        <w:t>: online pet trading; Animal Epidemic Prevention Law; quarantine system; grassroots law enforcement; cross-departmental collaboration</w:t>
      </w:r>
    </w:p>
    <w:p w14:paraId="7D239756" w14:textId="77777777" w:rsidR="000E7D31" w:rsidRDefault="00E92867">
      <w:pPr>
        <w:pStyle w:val="1"/>
        <w:spacing w:before="360" w:after="240"/>
        <w:jc w:val="center"/>
      </w:pPr>
      <w:r>
        <w:rPr>
          <w:rFonts w:ascii="黑体" w:eastAsia="黑体" w:hAnsi="黑体" w:cs="黑体"/>
          <w:b/>
          <w:bCs/>
          <w:color w:val="000000"/>
        </w:rPr>
        <w:t>一、背景介绍</w:t>
      </w:r>
    </w:p>
    <w:p w14:paraId="5971A9FD" w14:textId="77777777" w:rsidR="000E7D31" w:rsidRDefault="00E92867">
      <w:pPr>
        <w:spacing w:after="120" w:line="360" w:lineRule="auto"/>
        <w:ind w:firstLine="480"/>
      </w:pPr>
      <w:r>
        <w:t>近年来，通过网络进行宠物交易的模式迅猛发展，淘宝、闲鱼等平台已成为活体宠物交易的重要渠道。在市场扩大的同时，大量消费者反映收到“星期宠”、</w:t>
      </w:r>
      <w:r>
        <w:lastRenderedPageBreak/>
        <w:t>宠物运输途中死亡、商家无法提供检疫证明等情况，这种脱离常规监管的活体寄递行为正向野生动物领域蔓延，呈现普遍化与产业化特征。</w:t>
      </w:r>
    </w:p>
    <w:p w14:paraId="7893308A" w14:textId="77777777" w:rsidR="000E7D31" w:rsidRDefault="00E92867">
      <w:pPr>
        <w:spacing w:after="120" w:line="360" w:lineRule="auto"/>
        <w:ind w:firstLine="480"/>
      </w:pPr>
      <w:r>
        <w:t>国内媒体对全国重要宠物繁育基地江苏徐州的专项调查揭示，每日有数百件活体猫狗通过普通快递网络流向全国，托运中介公然宣称“无需检疫证明”，致使活体动物与普通货物混装运输，频繁发生致死事件。此外，2026年6月辽宁葫芦岛警方破获一起利用快递渠道违规邮寄228只国家“三有”保护鸟类的案件。两个事件相互印证，暴露出活体动物网络交易背后一条成熟的、逃离监管的“地下”流通网络。</w:t>
      </w:r>
    </w:p>
    <w:p w14:paraId="41BA11F9" w14:textId="77777777" w:rsidR="000E7D31" w:rsidRDefault="00E92867">
      <w:pPr>
        <w:pStyle w:val="1"/>
        <w:spacing w:before="360" w:after="240"/>
        <w:jc w:val="center"/>
      </w:pPr>
      <w:r>
        <w:rPr>
          <w:rFonts w:ascii="黑体" w:eastAsia="黑体" w:hAnsi="黑体" w:cs="黑体"/>
          <w:b/>
          <w:bCs/>
          <w:color w:val="000000"/>
        </w:rPr>
        <w:t>二、法规角度评价</w:t>
      </w:r>
    </w:p>
    <w:p w14:paraId="1A505068" w14:textId="54E919FC" w:rsidR="000E7D31" w:rsidRDefault="00E92867">
      <w:pPr>
        <w:spacing w:after="120" w:line="360" w:lineRule="auto"/>
        <w:ind w:firstLine="480"/>
      </w:pPr>
      <w:r>
        <w:t>网络宠物交易作为依托数字经济的新型商业模式，本身受《民法典》《电子商务法》对市场主体的保护。但活体动物兼具财产属性与病原传播载体的双重特征，其网络交易必须在动物卫生法规约束下进行。结合《动物防疫法》规定的法定义务评价：网络商家未向当地动物卫生监督机构报检即直接发货，违反第四十九条“货主应当……申报检疫”及第二十九条第三项“依法应当检疫而未经检疫”之禁止性规定；快递企业对“宠物盲盒”闭眼收寄并与普通货物混装于无温控、通风设备的货车，则违反第五十二条承运人“无检疫证明不得承运”的核验责任及第五十四条运输工具防疫卫生要求。</w:t>
      </w:r>
    </w:p>
    <w:p w14:paraId="16295C2F" w14:textId="77777777" w:rsidR="000E7D31" w:rsidRDefault="00E92867">
      <w:pPr>
        <w:spacing w:after="120" w:line="360" w:lineRule="auto"/>
        <w:ind w:firstLine="480"/>
      </w:pPr>
      <w:r>
        <w:t>脱离法定检疫与卫生运输规范的网络宠物交易，暴露出</w:t>
      </w:r>
      <w:r>
        <w:rPr>
          <w:b/>
          <w:bCs/>
        </w:rPr>
        <w:t>检疫制度落实严重不足</w:t>
      </w:r>
      <w:r>
        <w:t>与</w:t>
      </w:r>
      <w:r>
        <w:rPr>
          <w:b/>
          <w:bCs/>
        </w:rPr>
        <w:t>活体跨区域流动监管缺失</w:t>
      </w:r>
      <w:r>
        <w:t>等问题，给公共卫生带来巨大挑战。</w:t>
      </w:r>
    </w:p>
    <w:p w14:paraId="4BC2259B" w14:textId="77777777" w:rsidR="000E7D31" w:rsidRDefault="00E92867">
      <w:pPr>
        <w:pStyle w:val="1"/>
        <w:spacing w:before="360" w:after="240"/>
        <w:jc w:val="center"/>
      </w:pPr>
      <w:r>
        <w:rPr>
          <w:rFonts w:ascii="黑体" w:eastAsia="黑体" w:hAnsi="黑体" w:cs="黑体"/>
          <w:b/>
          <w:bCs/>
          <w:color w:val="000000"/>
        </w:rPr>
        <w:t>三、“对还是错”：网络宠物交易乱象的评判</w:t>
      </w:r>
    </w:p>
    <w:p w14:paraId="72297D6D" w14:textId="77777777" w:rsidR="000E7D31" w:rsidRDefault="00E92867">
      <w:pPr>
        <w:spacing w:after="120" w:line="360" w:lineRule="auto"/>
        <w:ind w:firstLine="480"/>
      </w:pPr>
      <w:r>
        <w:t>网络宠物交易作为商业模式本身并非要否决，但当前普遍存在的“无证寄递”现象在法理上是错误的。其错误不在于交易转移到线上，而在于经营主体与承运人未履行法定防疫义务，破坏了《动物防疫法》确立的“预防为主、全链条监管”基本制度。其核心之“错”集中体现在三个层面：</w:t>
      </w:r>
    </w:p>
    <w:p w14:paraId="3CBDC1CC" w14:textId="77777777" w:rsidR="000E7D31" w:rsidRDefault="00E92867">
      <w:pPr>
        <w:pStyle w:val="3"/>
        <w:spacing w:before="200" w:after="120"/>
      </w:pPr>
      <w:r>
        <w:rPr>
          <w:b/>
          <w:bCs/>
          <w:color w:val="000000"/>
        </w:rPr>
        <w:t>1. 义务的私人卸责与成本转嫁</w:t>
      </w:r>
    </w:p>
    <w:p w14:paraId="56C08B0C" w14:textId="77777777" w:rsidR="000E7D31" w:rsidRDefault="00E92867">
      <w:pPr>
        <w:spacing w:after="120" w:line="360" w:lineRule="auto"/>
        <w:ind w:firstLine="480"/>
      </w:pPr>
      <w:r>
        <w:t>网络商家与违规中介为压缩检疫流程的时间与金钱成本，选择放弃检疫申报与合规运输，本质上是将经营者应承担的“生物安全防范成本”非法转嫁给消费</w:t>
      </w:r>
      <w:r>
        <w:lastRenderedPageBreak/>
        <w:t>者与全社会。</w:t>
      </w:r>
    </w:p>
    <w:p w14:paraId="33A32054" w14:textId="77777777" w:rsidR="000E7D31" w:rsidRDefault="00E92867">
      <w:pPr>
        <w:pStyle w:val="3"/>
        <w:spacing w:before="200" w:after="120"/>
      </w:pPr>
      <w:r>
        <w:rPr>
          <w:b/>
          <w:bCs/>
          <w:color w:val="000000"/>
        </w:rPr>
        <w:t>2. 物理熔断行政监管</w:t>
      </w:r>
    </w:p>
    <w:p w14:paraId="141C0F9C" w14:textId="77777777" w:rsidR="000E7D31" w:rsidRDefault="00E92867">
      <w:pPr>
        <w:spacing w:after="120" w:line="360" w:lineRule="auto"/>
        <w:ind w:firstLine="480"/>
      </w:pPr>
      <w:r>
        <w:t>传统动物卫生监督依赖“产地检疫—运输查验—落地报告”的线性闭环，网络交易利用平台与快递网点的多层嵌套制造“信息黑箱”，使行政机关的流行病学调查权与应急处置权在网络交易面前彻底失效。</w:t>
      </w:r>
    </w:p>
    <w:p w14:paraId="138F8607" w14:textId="77777777" w:rsidR="000E7D31" w:rsidRDefault="00E92867">
      <w:pPr>
        <w:pStyle w:val="3"/>
        <w:spacing w:before="200" w:after="120"/>
      </w:pPr>
      <w:r>
        <w:rPr>
          <w:b/>
          <w:bCs/>
          <w:color w:val="000000"/>
        </w:rPr>
        <w:t>3. 诱发“劣币驱逐良币”</w:t>
      </w:r>
    </w:p>
    <w:p w14:paraId="0415706C" w14:textId="77777777" w:rsidR="000E7D31" w:rsidRDefault="00E92867">
      <w:pPr>
        <w:spacing w:after="120" w:line="360" w:lineRule="auto"/>
        <w:ind w:firstLine="480"/>
      </w:pPr>
      <w:r>
        <w:t>违规经营者通过逃避检疫获得低成本优势却未受相应处罚，违法收益远大于违法成本，反倒“惩罚”了合规经营者，使市场陷入法不责众的恶性循环。</w:t>
      </w:r>
    </w:p>
    <w:p w14:paraId="4586835A" w14:textId="338FCF23" w:rsidR="000E7D31" w:rsidRDefault="00E92867">
      <w:pPr>
        <w:pStyle w:val="1"/>
        <w:spacing w:before="360" w:after="240"/>
        <w:jc w:val="center"/>
      </w:pPr>
      <w:r>
        <w:rPr>
          <w:rFonts w:ascii="黑体" w:eastAsia="黑体" w:hAnsi="黑体" w:cs="黑体"/>
          <w:b/>
          <w:bCs/>
          <w:color w:val="000000"/>
        </w:rPr>
        <w:t>四、</w:t>
      </w:r>
      <w:r w:rsidR="00D80566">
        <w:rPr>
          <w:rFonts w:ascii="黑体" w:eastAsia="黑体" w:hAnsi="黑体" w:cs="黑体" w:hint="eastAsia"/>
          <w:b/>
          <w:bCs/>
          <w:color w:val="000000"/>
        </w:rPr>
        <w:t>交易乱象背后的</w:t>
      </w:r>
      <w:r>
        <w:rPr>
          <w:rFonts w:ascii="黑体" w:eastAsia="黑体" w:hAnsi="黑体" w:cs="黑体"/>
          <w:b/>
          <w:bCs/>
          <w:color w:val="000000"/>
        </w:rPr>
        <w:t>规制失灵与体制瓶颈</w:t>
      </w:r>
    </w:p>
    <w:p w14:paraId="5469DC4D" w14:textId="77777777" w:rsidR="000E7D31" w:rsidRDefault="00E92867">
      <w:pPr>
        <w:spacing w:after="120" w:line="360" w:lineRule="auto"/>
        <w:ind w:firstLine="480"/>
      </w:pPr>
      <w:r>
        <w:t>网络宠物交易乱象的背后并非单纯的市场道德败坏，而是传统动物卫生法制在遭遇数字经济冲击时暴露出的系统性、结构性困境：</w:t>
      </w:r>
    </w:p>
    <w:p w14:paraId="7C35502F" w14:textId="77777777" w:rsidR="000E7D31" w:rsidRDefault="00E92867">
      <w:pPr>
        <w:pStyle w:val="2"/>
        <w:spacing w:before="280" w:after="160"/>
      </w:pPr>
      <w:r>
        <w:rPr>
          <w:rFonts w:ascii="黑体" w:eastAsia="黑体" w:hAnsi="黑体" w:cs="黑体"/>
          <w:b/>
          <w:bCs/>
          <w:color w:val="000000"/>
          <w:sz w:val="28"/>
          <w:szCs w:val="28"/>
        </w:rPr>
        <w:t>（一）立法层面：传统法律框架与数字经济的错位</w:t>
      </w:r>
    </w:p>
    <w:p w14:paraId="24520F97" w14:textId="77777777" w:rsidR="000E7D31" w:rsidRDefault="00E92867">
      <w:pPr>
        <w:spacing w:after="120" w:line="360" w:lineRule="auto"/>
        <w:ind w:firstLine="480"/>
      </w:pPr>
      <w:r>
        <w:t>现行《动物防疫法》的立法逻辑深植于传统畜禽规模化养殖与线下点对点调运模式，面对高度去中心化的“C2C”“B2C”零散发货，缺乏低成本、高效率的专项检疫申报路径，客观上“倒逼”部分商户选择非法规避。电商平台是控制交易流向的枢纽，但现行《动物防疫法》尚未与《电子商务法》形成有效衔接，未将“官方动物检疫证明”列为活体商家上架的强制核验要件，平台往往以“避风港原则”推脱责任，客观上为非法交易提供了庇护。</w:t>
      </w:r>
    </w:p>
    <w:p w14:paraId="7B2CD8B6" w14:textId="77777777" w:rsidR="000E7D31" w:rsidRDefault="00E92867">
      <w:pPr>
        <w:pStyle w:val="2"/>
        <w:spacing w:before="280" w:after="160"/>
      </w:pPr>
      <w:r>
        <w:rPr>
          <w:rFonts w:ascii="黑体" w:eastAsia="黑体" w:hAnsi="黑体" w:cs="黑体"/>
          <w:b/>
          <w:bCs/>
          <w:color w:val="000000"/>
          <w:sz w:val="28"/>
          <w:szCs w:val="28"/>
        </w:rPr>
        <w:t>（二）体制结构瓶颈：基层执法的容量危机</w:t>
      </w:r>
    </w:p>
    <w:p w14:paraId="345CE2C9" w14:textId="66CC6A28" w:rsidR="0009622F" w:rsidRPr="0009622F" w:rsidRDefault="00065592" w:rsidP="00B139A7">
      <w:pPr>
        <w:spacing w:line="360" w:lineRule="auto"/>
        <w:ind w:firstLine="482"/>
      </w:pPr>
      <w:r w:rsidRPr="00065592">
        <w:rPr>
          <w:rFonts w:hint="eastAsia"/>
        </w:rPr>
        <w:t>从宏观的兽医体系演进来看，体制痼疾由来已久。陈伟生等（</w:t>
      </w:r>
      <w:r w:rsidRPr="00065592">
        <w:t>2020）在系统回顾2005年兽医管理体制改革历程时就曾一针见血地指出，基层防疫机构在人员编制与基础设施方面存在严重的</w:t>
      </w:r>
      <w:r w:rsidR="00966B8C">
        <w:rPr>
          <w:rFonts w:hint="eastAsia"/>
        </w:rPr>
        <w:t>“</w:t>
      </w:r>
      <w:r w:rsidRPr="00065592">
        <w:t>能力不匹配</w:t>
      </w:r>
      <w:r w:rsidR="00966B8C">
        <w:rPr>
          <w:rFonts w:hint="eastAsia"/>
        </w:rPr>
        <w:t>”</w:t>
      </w:r>
      <w:r w:rsidRPr="00065592">
        <w:t>。</w:t>
      </w:r>
      <w:r w:rsidR="00451EB2" w:rsidRPr="00451EB2">
        <w:rPr>
          <w:vertAlign w:val="superscript"/>
        </w:rPr>
        <w:fldChar w:fldCharType="begin"/>
      </w:r>
      <w:r w:rsidR="00451EB2" w:rsidRPr="00451EB2">
        <w:rPr>
          <w:vertAlign w:val="superscript"/>
        </w:rPr>
        <w:instrText xml:space="preserve"> REF _Ref233006380 \r \h </w:instrText>
      </w:r>
      <w:r w:rsidR="00451EB2">
        <w:rPr>
          <w:vertAlign w:val="superscript"/>
        </w:rPr>
        <w:instrText xml:space="preserve"> \* MERGEFORMAT </w:instrText>
      </w:r>
      <w:r w:rsidR="00451EB2" w:rsidRPr="00451EB2">
        <w:rPr>
          <w:vertAlign w:val="superscript"/>
        </w:rPr>
      </w:r>
      <w:r w:rsidR="00451EB2" w:rsidRPr="00451EB2">
        <w:rPr>
          <w:vertAlign w:val="superscript"/>
        </w:rPr>
        <w:fldChar w:fldCharType="separate"/>
      </w:r>
      <w:r w:rsidR="00451EB2" w:rsidRPr="00451EB2">
        <w:rPr>
          <w:vertAlign w:val="superscript"/>
        </w:rPr>
        <w:t>[4]</w:t>
      </w:r>
      <w:r w:rsidR="00451EB2" w:rsidRPr="00451EB2">
        <w:rPr>
          <w:vertAlign w:val="superscript"/>
        </w:rPr>
        <w:fldChar w:fldCharType="end"/>
      </w:r>
      <w:r w:rsidRPr="00065592">
        <w:t>而近年来最新的实证研究进一步证实，这一历史沉疴在当下非但没有缓解，反而愈演愈烈：刘青芸等（2024）指出源头防控力量依然薄弱</w:t>
      </w:r>
      <w:r w:rsidR="00A40FF2" w:rsidRPr="000D3E56">
        <w:rPr>
          <w:vertAlign w:val="superscript"/>
        </w:rPr>
        <w:fldChar w:fldCharType="begin"/>
      </w:r>
      <w:r w:rsidR="00A40FF2" w:rsidRPr="000D3E56">
        <w:rPr>
          <w:vertAlign w:val="superscript"/>
        </w:rPr>
        <w:instrText xml:space="preserve"> REF _Ref233006404 \r \h </w:instrText>
      </w:r>
      <w:r w:rsidR="000D3E56">
        <w:rPr>
          <w:vertAlign w:val="superscript"/>
        </w:rPr>
        <w:instrText xml:space="preserve"> \* MERGEFORMAT </w:instrText>
      </w:r>
      <w:r w:rsidR="00A40FF2" w:rsidRPr="000D3E56">
        <w:rPr>
          <w:vertAlign w:val="superscript"/>
        </w:rPr>
      </w:r>
      <w:r w:rsidR="00A40FF2" w:rsidRPr="000D3E56">
        <w:rPr>
          <w:vertAlign w:val="superscript"/>
        </w:rPr>
        <w:fldChar w:fldCharType="separate"/>
      </w:r>
      <w:r w:rsidR="00A40FF2" w:rsidRPr="000D3E56">
        <w:rPr>
          <w:vertAlign w:val="superscript"/>
        </w:rPr>
        <w:t>[5]</w:t>
      </w:r>
      <w:r w:rsidR="00A40FF2" w:rsidRPr="000D3E56">
        <w:rPr>
          <w:vertAlign w:val="superscript"/>
        </w:rPr>
        <w:fldChar w:fldCharType="end"/>
      </w:r>
      <w:r w:rsidRPr="00065592">
        <w:t>，</w:t>
      </w:r>
      <w:r w:rsidR="00A40FF2">
        <w:rPr>
          <w:rFonts w:hint="eastAsia"/>
        </w:rPr>
        <w:t>赵尚军、</w:t>
      </w:r>
      <w:r w:rsidRPr="00065592">
        <w:t>刘顺能等的实证调研更是</w:t>
      </w:r>
      <w:r>
        <w:rPr>
          <w:rFonts w:hint="eastAsia"/>
        </w:rPr>
        <w:t>强调防疫体系极易</w:t>
      </w:r>
      <w:r w:rsidRPr="0009622F">
        <w:rPr>
          <w:rFonts w:hint="eastAsia"/>
        </w:rPr>
        <w:t>陷入“看得见的管不着，管得着的看不见”的监管窘境</w:t>
      </w:r>
      <w:r>
        <w:rPr>
          <w:rFonts w:hint="eastAsia"/>
        </w:rPr>
        <w:t>。</w:t>
      </w:r>
      <w:r w:rsidR="000D3E56" w:rsidRPr="000D3E56">
        <w:rPr>
          <w:vertAlign w:val="superscript"/>
        </w:rPr>
        <w:fldChar w:fldCharType="begin"/>
      </w:r>
      <w:r w:rsidR="000D3E56" w:rsidRPr="000D3E56">
        <w:rPr>
          <w:vertAlign w:val="superscript"/>
        </w:rPr>
        <w:instrText xml:space="preserve"> </w:instrText>
      </w:r>
      <w:r w:rsidR="000D3E56" w:rsidRPr="000D3E56">
        <w:rPr>
          <w:rFonts w:hint="eastAsia"/>
          <w:vertAlign w:val="superscript"/>
        </w:rPr>
        <w:instrText>REF _Ref233006484 \r \h</w:instrText>
      </w:r>
      <w:r w:rsidR="000D3E56" w:rsidRPr="000D3E56">
        <w:rPr>
          <w:vertAlign w:val="superscript"/>
        </w:rPr>
        <w:instrText xml:space="preserve"> </w:instrText>
      </w:r>
      <w:r w:rsidR="000D3E56">
        <w:rPr>
          <w:vertAlign w:val="superscript"/>
        </w:rPr>
        <w:instrText xml:space="preserve"> \* MERGEFORMAT </w:instrText>
      </w:r>
      <w:r w:rsidR="000D3E56" w:rsidRPr="000D3E56">
        <w:rPr>
          <w:vertAlign w:val="superscript"/>
        </w:rPr>
      </w:r>
      <w:r w:rsidR="000D3E56" w:rsidRPr="000D3E56">
        <w:rPr>
          <w:vertAlign w:val="superscript"/>
        </w:rPr>
        <w:fldChar w:fldCharType="separate"/>
      </w:r>
      <w:r w:rsidR="000D3E56" w:rsidRPr="000D3E56">
        <w:rPr>
          <w:vertAlign w:val="superscript"/>
        </w:rPr>
        <w:t>[6]</w:t>
      </w:r>
      <w:r w:rsidR="000D3E56" w:rsidRPr="000D3E56">
        <w:rPr>
          <w:vertAlign w:val="superscript"/>
        </w:rPr>
        <w:fldChar w:fldCharType="end"/>
      </w:r>
      <w:r w:rsidR="000D3E56" w:rsidRPr="000D3E56">
        <w:rPr>
          <w:rFonts w:hint="eastAsia"/>
          <w:vertAlign w:val="superscript"/>
        </w:rPr>
        <w:t>，</w:t>
      </w:r>
      <w:r w:rsidR="000D3E56" w:rsidRPr="000D3E56">
        <w:rPr>
          <w:vertAlign w:val="superscript"/>
        </w:rPr>
        <w:fldChar w:fldCharType="begin"/>
      </w:r>
      <w:r w:rsidR="000D3E56" w:rsidRPr="000D3E56">
        <w:rPr>
          <w:vertAlign w:val="superscript"/>
        </w:rPr>
        <w:instrText xml:space="preserve"> REF _Ref233006485 \r \h </w:instrText>
      </w:r>
      <w:r w:rsidR="000D3E56">
        <w:rPr>
          <w:vertAlign w:val="superscript"/>
        </w:rPr>
        <w:instrText xml:space="preserve"> \* MERGEFORMAT </w:instrText>
      </w:r>
      <w:r w:rsidR="000D3E56" w:rsidRPr="000D3E56">
        <w:rPr>
          <w:vertAlign w:val="superscript"/>
        </w:rPr>
      </w:r>
      <w:r w:rsidR="000D3E56" w:rsidRPr="000D3E56">
        <w:rPr>
          <w:vertAlign w:val="superscript"/>
        </w:rPr>
        <w:fldChar w:fldCharType="separate"/>
      </w:r>
      <w:r w:rsidR="000D3E56" w:rsidRPr="000D3E56">
        <w:rPr>
          <w:vertAlign w:val="superscript"/>
        </w:rPr>
        <w:t>[7]</w:t>
      </w:r>
      <w:r w:rsidR="000D3E56" w:rsidRPr="000D3E56">
        <w:rPr>
          <w:vertAlign w:val="superscript"/>
        </w:rPr>
        <w:fldChar w:fldCharType="end"/>
      </w:r>
    </w:p>
    <w:p w14:paraId="6C61C665" w14:textId="60712E2F" w:rsidR="000E7D31" w:rsidRDefault="00E92867">
      <w:pPr>
        <w:pStyle w:val="2"/>
        <w:spacing w:before="280" w:after="160"/>
      </w:pPr>
      <w:r>
        <w:rPr>
          <w:rFonts w:ascii="黑体" w:eastAsia="黑体" w:hAnsi="黑体" w:cs="黑体"/>
          <w:b/>
          <w:bCs/>
          <w:color w:val="000000"/>
          <w:sz w:val="28"/>
          <w:szCs w:val="28"/>
        </w:rPr>
        <w:t>（三）协同执法壁垒</w:t>
      </w:r>
      <w:r w:rsidR="00C05BB2">
        <w:rPr>
          <w:rFonts w:ascii="黑体" w:eastAsia="黑体" w:hAnsi="黑体" w:cs="黑体" w:hint="eastAsia"/>
          <w:b/>
          <w:bCs/>
          <w:color w:val="000000"/>
          <w:sz w:val="28"/>
          <w:szCs w:val="28"/>
        </w:rPr>
        <w:t>背后的</w:t>
      </w:r>
      <w:r>
        <w:rPr>
          <w:rFonts w:ascii="黑体" w:eastAsia="黑体" w:hAnsi="黑体" w:cs="黑体"/>
          <w:b/>
          <w:bCs/>
          <w:color w:val="000000"/>
          <w:sz w:val="28"/>
          <w:szCs w:val="28"/>
        </w:rPr>
        <w:t>“数据孤岛”</w:t>
      </w:r>
    </w:p>
    <w:p w14:paraId="459D7569" w14:textId="7C8B43FB" w:rsidR="00844891" w:rsidRPr="00844891" w:rsidRDefault="00844891" w:rsidP="005020D8">
      <w:pPr>
        <w:spacing w:line="360" w:lineRule="auto"/>
        <w:ind w:firstLine="482"/>
      </w:pPr>
      <w:r>
        <w:rPr>
          <w:rFonts w:hint="eastAsia"/>
        </w:rPr>
        <w:lastRenderedPageBreak/>
        <w:t>网络活体交易</w:t>
      </w:r>
      <w:r w:rsidR="005020D8">
        <w:rPr>
          <w:rFonts w:hint="eastAsia"/>
        </w:rPr>
        <w:t>中存在“</w:t>
      </w:r>
      <w:r>
        <w:rPr>
          <w:rFonts w:hint="eastAsia"/>
        </w:rPr>
        <w:t>卖家在</w:t>
      </w:r>
      <w:r>
        <w:t>A省、物流经B省中转、买家在C省</w:t>
      </w:r>
      <w:r w:rsidR="005020D8">
        <w:rPr>
          <w:rFonts w:hint="eastAsia"/>
        </w:rPr>
        <w:t>”</w:t>
      </w:r>
      <w:r>
        <w:t>分离式交易使坚持“属地管辖”的地方执法队伍面临极大的异地取证壁垒，导致违法行为难以被全链条追溯。</w:t>
      </w:r>
      <w:r>
        <w:rPr>
          <w:rFonts w:hint="eastAsia"/>
        </w:rPr>
        <w:t>在跨部门协同方面，正如刘青芸等（</w:t>
      </w:r>
      <w:r>
        <w:t>2024）在针对我国人兽共患病防控挑战的研究中所指出的，当前防控体系仍存在源头力量薄弱、基层防控机制不健全的痼疾</w:t>
      </w:r>
      <w:r w:rsidR="000D3E56" w:rsidRPr="000D3E56">
        <w:rPr>
          <w:vertAlign w:val="superscript"/>
        </w:rPr>
        <w:fldChar w:fldCharType="begin"/>
      </w:r>
      <w:r w:rsidR="000D3E56" w:rsidRPr="000D3E56">
        <w:rPr>
          <w:vertAlign w:val="superscript"/>
        </w:rPr>
        <w:instrText xml:space="preserve"> REF _Ref233006404 \r \h </w:instrText>
      </w:r>
      <w:r w:rsidR="000D3E56">
        <w:rPr>
          <w:vertAlign w:val="superscript"/>
        </w:rPr>
        <w:instrText xml:space="preserve"> \* MERGEFORMAT </w:instrText>
      </w:r>
      <w:r w:rsidR="000D3E56" w:rsidRPr="000D3E56">
        <w:rPr>
          <w:vertAlign w:val="superscript"/>
        </w:rPr>
      </w:r>
      <w:r w:rsidR="000D3E56" w:rsidRPr="000D3E56">
        <w:rPr>
          <w:vertAlign w:val="superscript"/>
        </w:rPr>
        <w:fldChar w:fldCharType="separate"/>
      </w:r>
      <w:r w:rsidR="000D3E56" w:rsidRPr="000D3E56">
        <w:rPr>
          <w:vertAlign w:val="superscript"/>
        </w:rPr>
        <w:t>[5]</w:t>
      </w:r>
      <w:r w:rsidR="000D3E56" w:rsidRPr="000D3E56">
        <w:rPr>
          <w:vertAlign w:val="superscript"/>
        </w:rPr>
        <w:fldChar w:fldCharType="end"/>
      </w:r>
      <w:r>
        <w:t>；尽管《动物防疫法》等法规一再强调建立多部门协作机制，但在实际执行中往往流于形式，协同效果极为有限。这一宏观机制痛点在网络宠物监管中表现得尤为明显：农业农村部门（管检疫）、邮政管理部门（管快递）与市场监管部门（管平台）之间缺乏法定的数据强制共享机制。官方检疫数据无法实时推送给物流企业实施前端拦截，致使《动物防疫法》规定的“承运人查验责任”因缺乏技术接口而彻底沦</w:t>
      </w:r>
      <w:r>
        <w:rPr>
          <w:rFonts w:hint="eastAsia"/>
        </w:rPr>
        <w:t>为空谈。</w:t>
      </w:r>
    </w:p>
    <w:p w14:paraId="1F865690" w14:textId="77777777" w:rsidR="000E7D31" w:rsidRDefault="00E92867">
      <w:pPr>
        <w:pStyle w:val="2"/>
        <w:spacing w:before="280" w:after="160"/>
      </w:pPr>
      <w:r>
        <w:rPr>
          <w:rFonts w:ascii="黑体" w:eastAsia="黑体" w:hAnsi="黑体" w:cs="黑体"/>
          <w:b/>
          <w:bCs/>
          <w:color w:val="000000"/>
          <w:sz w:val="28"/>
          <w:szCs w:val="28"/>
        </w:rPr>
        <w:t>（四）违法成本与规制威慑力的失衡</w:t>
      </w:r>
    </w:p>
    <w:p w14:paraId="651236BF" w14:textId="6277ABDC" w:rsidR="00765E8A" w:rsidRPr="00765E8A" w:rsidRDefault="00765E8A" w:rsidP="00951822">
      <w:pPr>
        <w:spacing w:after="120" w:line="360" w:lineRule="auto"/>
        <w:ind w:firstLine="480"/>
      </w:pPr>
      <w:r w:rsidRPr="00765E8A">
        <w:t>网络宠物交易中检疫规制失灵的</w:t>
      </w:r>
      <w:r w:rsidR="008A3A9B">
        <w:rPr>
          <w:rFonts w:hint="eastAsia"/>
        </w:rPr>
        <w:t>原因</w:t>
      </w:r>
      <w:r w:rsidRPr="00765E8A">
        <w:t>在于“违法收益高、违法成本低”的结构性倒挂。周子涵、赵绍阳（2020）的研究</w:t>
      </w:r>
      <w:r w:rsidR="00771A3E">
        <w:rPr>
          <w:rFonts w:hint="eastAsia"/>
        </w:rPr>
        <w:t>印证</w:t>
      </w:r>
      <w:r w:rsidR="00F75F0E">
        <w:rPr>
          <w:rFonts w:hint="eastAsia"/>
        </w:rPr>
        <w:t>了</w:t>
      </w:r>
      <w:r w:rsidR="00771A3E">
        <w:rPr>
          <w:rFonts w:hint="eastAsia"/>
        </w:rPr>
        <w:t>这一缺陷。</w:t>
      </w:r>
      <w:r w:rsidR="00DD717B" w:rsidRPr="00DD717B">
        <w:rPr>
          <w:vertAlign w:val="superscript"/>
        </w:rPr>
        <w:fldChar w:fldCharType="begin"/>
      </w:r>
      <w:r w:rsidR="00DD717B" w:rsidRPr="00DD717B">
        <w:rPr>
          <w:vertAlign w:val="superscript"/>
        </w:rPr>
        <w:instrText xml:space="preserve"> </w:instrText>
      </w:r>
      <w:r w:rsidR="00DD717B" w:rsidRPr="00DD717B">
        <w:rPr>
          <w:rFonts w:hint="eastAsia"/>
          <w:vertAlign w:val="superscript"/>
        </w:rPr>
        <w:instrText>REF _Ref233006518 \r \h</w:instrText>
      </w:r>
      <w:r w:rsidR="00DD717B" w:rsidRPr="00DD717B">
        <w:rPr>
          <w:vertAlign w:val="superscript"/>
        </w:rPr>
        <w:instrText xml:space="preserve"> </w:instrText>
      </w:r>
      <w:r w:rsidR="00DD717B">
        <w:rPr>
          <w:vertAlign w:val="superscript"/>
        </w:rPr>
        <w:instrText xml:space="preserve"> \* MERGEFORMAT </w:instrText>
      </w:r>
      <w:r w:rsidR="00DD717B" w:rsidRPr="00DD717B">
        <w:rPr>
          <w:vertAlign w:val="superscript"/>
        </w:rPr>
      </w:r>
      <w:r w:rsidR="00DD717B" w:rsidRPr="00DD717B">
        <w:rPr>
          <w:vertAlign w:val="superscript"/>
        </w:rPr>
        <w:fldChar w:fldCharType="separate"/>
      </w:r>
      <w:r w:rsidR="00DD717B" w:rsidRPr="00DD717B">
        <w:rPr>
          <w:vertAlign w:val="superscript"/>
        </w:rPr>
        <w:t>[8]</w:t>
      </w:r>
      <w:r w:rsidR="00DD717B" w:rsidRPr="00DD717B">
        <w:rPr>
          <w:vertAlign w:val="superscript"/>
        </w:rPr>
        <w:fldChar w:fldCharType="end"/>
      </w:r>
      <w:r w:rsidRPr="00765E8A">
        <w:t>在网络宠物交易场景中，这一缺陷被进一步放大。违法收益远高于违法成本，行政处罚难以形成有效的威慑预期，执法频次低与处罚力度轻形成相互强化的恶性循环。</w:t>
      </w:r>
    </w:p>
    <w:p w14:paraId="251AA851" w14:textId="77777777" w:rsidR="000E7D31" w:rsidRDefault="00E92867">
      <w:pPr>
        <w:pStyle w:val="1"/>
        <w:spacing w:before="360" w:after="240"/>
        <w:jc w:val="center"/>
      </w:pPr>
      <w:r>
        <w:rPr>
          <w:rFonts w:ascii="黑体" w:eastAsia="黑体" w:hAnsi="黑体" w:cs="黑体"/>
          <w:b/>
          <w:bCs/>
          <w:color w:val="000000"/>
        </w:rPr>
        <w:t>五、动物卫生法制视角下的治理路径与制度重构</w:t>
      </w:r>
    </w:p>
    <w:p w14:paraId="0AB7E6B3" w14:textId="77777777" w:rsidR="000E7D31" w:rsidRDefault="00E92867">
      <w:pPr>
        <w:spacing w:after="120" w:line="360" w:lineRule="auto"/>
        <w:ind w:firstLine="480"/>
      </w:pPr>
      <w:r>
        <w:t>针对上述规制失灵与体制瓶颈，单纯增加基层兽医编制或开展短期“运动式执法”已无法触及病灶，必须实现从“线下人工盯防”向“全链条数字治理”的范式转型，构建“法律授权—技术赋能—部门协同”的治理闭环。</w:t>
      </w:r>
    </w:p>
    <w:p w14:paraId="1DB71FE0" w14:textId="4F53D525" w:rsidR="000E7D31" w:rsidRDefault="00E92867" w:rsidP="004B5055">
      <w:pPr>
        <w:pStyle w:val="2"/>
        <w:spacing w:before="280" w:after="160"/>
      </w:pPr>
      <w:r>
        <w:rPr>
          <w:rFonts w:ascii="黑体" w:eastAsia="黑体" w:hAnsi="黑体" w:cs="黑体"/>
          <w:b/>
          <w:bCs/>
          <w:color w:val="000000"/>
          <w:sz w:val="28"/>
          <w:szCs w:val="28"/>
        </w:rPr>
        <w:t>（一）完善电商与防疫的法律衔接，压实平台审核责任</w:t>
      </w:r>
    </w:p>
    <w:p w14:paraId="0FBA26F9" w14:textId="1B40D53D" w:rsidR="004B5055" w:rsidRDefault="004B5055">
      <w:pPr>
        <w:spacing w:after="120" w:line="360" w:lineRule="auto"/>
        <w:ind w:firstLine="480"/>
      </w:pPr>
      <w:r w:rsidRPr="004B5055">
        <w:rPr>
          <w:rFonts w:hint="eastAsia"/>
        </w:rPr>
        <w:t>强制电商平台建立活体动物专属类目</w:t>
      </w:r>
      <w:r>
        <w:rPr>
          <w:rFonts w:hint="eastAsia"/>
        </w:rPr>
        <w:t>的</w:t>
      </w:r>
      <w:r w:rsidRPr="004B5055">
        <w:rPr>
          <w:rFonts w:hint="eastAsia"/>
        </w:rPr>
        <w:t>关键字拦截算法。对于涉及“活体”、“宠物盲盒”等关键词的商品链接，算法应强制跳转至专属类目，并在商家发布</w:t>
      </w:r>
      <w:r w:rsidR="00E436E0">
        <w:rPr>
          <w:rFonts w:hint="eastAsia"/>
        </w:rPr>
        <w:t>界面</w:t>
      </w:r>
      <w:r w:rsidRPr="004B5055">
        <w:t>中，将“官方动物检疫合格证明编号”设置为无法绕过的强制必填项，</w:t>
      </w:r>
      <w:r w:rsidR="00842659">
        <w:rPr>
          <w:rFonts w:hint="eastAsia"/>
        </w:rPr>
        <w:t>并与</w:t>
      </w:r>
      <w:r w:rsidRPr="004B5055">
        <w:t>农业部门的数据库进行实时核验，从信息发布的源头掐断无证交易的可能。</w:t>
      </w:r>
    </w:p>
    <w:p w14:paraId="154EA334" w14:textId="77777777" w:rsidR="000E7D31" w:rsidRDefault="00E92867">
      <w:pPr>
        <w:pStyle w:val="2"/>
        <w:spacing w:before="280" w:after="160"/>
      </w:pPr>
      <w:r>
        <w:rPr>
          <w:rFonts w:ascii="黑体" w:eastAsia="黑体" w:hAnsi="黑体" w:cs="黑体"/>
          <w:b/>
          <w:bCs/>
          <w:color w:val="000000"/>
          <w:sz w:val="28"/>
          <w:szCs w:val="28"/>
        </w:rPr>
        <w:t>（二）依托数字监管突破基层执法容量瓶颈</w:t>
      </w:r>
    </w:p>
    <w:p w14:paraId="2C41C514" w14:textId="542F9586" w:rsidR="00C9628B" w:rsidRDefault="00C9628B">
      <w:pPr>
        <w:spacing w:after="120" w:line="360" w:lineRule="auto"/>
        <w:ind w:firstLine="480"/>
      </w:pPr>
      <w:r>
        <w:rPr>
          <w:rFonts w:hint="eastAsia"/>
        </w:rPr>
        <w:t>实行</w:t>
      </w:r>
      <w:r>
        <w:t>“官方授权与社会化服务相结合”的机制。农业农村部门可通过法定程</w:t>
      </w:r>
      <w:r>
        <w:lastRenderedPageBreak/>
        <w:t>序，将部分基础性的临床健康检查与狂犬</w:t>
      </w:r>
      <w:r w:rsidRPr="00D668E3">
        <w:t>病疫苗核验工作，授权给具备资质的社会化宠物医院与执业兽医。卖家可就近在宠物医院完成前置体检并上传数据，</w:t>
      </w:r>
      <w:r w:rsidR="00D668E3">
        <w:rPr>
          <w:rFonts w:hint="eastAsia"/>
        </w:rPr>
        <w:t>授权兽医</w:t>
      </w:r>
      <w:r w:rsidRPr="00D668E3">
        <w:t>在线上进行</w:t>
      </w:r>
      <w:r w:rsidR="00601653">
        <w:rPr>
          <w:rFonts w:hint="eastAsia"/>
        </w:rPr>
        <w:t>验证审批</w:t>
      </w:r>
      <w:r>
        <w:t>。既</w:t>
      </w:r>
      <w:r w:rsidR="00C142B9">
        <w:rPr>
          <w:rFonts w:hint="eastAsia"/>
        </w:rPr>
        <w:t>可</w:t>
      </w:r>
      <w:r>
        <w:t>降低了商户的合规成本</w:t>
      </w:r>
      <w:r w:rsidR="00137970">
        <w:rPr>
          <w:rFonts w:hint="eastAsia"/>
        </w:rPr>
        <w:t>，又能减缓</w:t>
      </w:r>
      <w:r>
        <w:t>基层官方兽医的容量危机。</w:t>
      </w:r>
    </w:p>
    <w:p w14:paraId="62D42321" w14:textId="77777777" w:rsidR="000E7D31" w:rsidRDefault="00E92867">
      <w:pPr>
        <w:pStyle w:val="2"/>
        <w:spacing w:before="280" w:after="160"/>
      </w:pPr>
      <w:r>
        <w:rPr>
          <w:rFonts w:ascii="黑体" w:eastAsia="黑体" w:hAnsi="黑体" w:cs="黑体"/>
          <w:b/>
          <w:bCs/>
          <w:color w:val="000000"/>
          <w:sz w:val="28"/>
          <w:szCs w:val="28"/>
        </w:rPr>
        <w:t>（三）构建跨部门数据共享机制</w:t>
      </w:r>
    </w:p>
    <w:p w14:paraId="7F548CDD" w14:textId="77777777" w:rsidR="000E7D31" w:rsidRDefault="00E92867">
      <w:pPr>
        <w:spacing w:after="120" w:line="360" w:lineRule="auto"/>
        <w:ind w:firstLine="480"/>
      </w:pPr>
      <w:r>
        <w:t>农业农村部门电子检疫数据应向邮政管理部门开放接口，快递企业揽收活体动物时终端扫码枪须直接校验检疫码，无码或显示无效即系统锁死，从技术上强制落实承运人查验责任。</w:t>
      </w:r>
    </w:p>
    <w:p w14:paraId="69ACFF5B" w14:textId="77777777" w:rsidR="000E7D31" w:rsidRDefault="00E92867">
      <w:pPr>
        <w:pStyle w:val="2"/>
        <w:spacing w:before="280" w:after="160"/>
      </w:pPr>
      <w:r>
        <w:rPr>
          <w:rFonts w:ascii="黑体" w:eastAsia="黑体" w:hAnsi="黑体" w:cs="黑体"/>
          <w:b/>
          <w:bCs/>
          <w:color w:val="000000"/>
          <w:sz w:val="28"/>
          <w:szCs w:val="28"/>
        </w:rPr>
        <w:t>（四）细化活体动物运输的法定卫生与福利标准</w:t>
      </w:r>
    </w:p>
    <w:p w14:paraId="2CCD36AD" w14:textId="77777777" w:rsidR="000E7D31" w:rsidRDefault="00E92867">
      <w:pPr>
        <w:spacing w:after="120" w:line="360" w:lineRule="auto"/>
        <w:ind w:firstLine="480"/>
      </w:pPr>
      <w:r>
        <w:t>以部门规章形式，明确不同种类宠物运输过程中的空间密度、温度控制、通风换气及最长运输时长等强制性标准，禁止使用不具备生命保障与消毒条件的普通货车混装寄递活体动物。</w:t>
      </w:r>
    </w:p>
    <w:p w14:paraId="57B764E9" w14:textId="77777777" w:rsidR="000E7D31" w:rsidRDefault="00E92867">
      <w:pPr>
        <w:pStyle w:val="1"/>
        <w:spacing w:before="360" w:after="240"/>
        <w:jc w:val="center"/>
      </w:pPr>
      <w:r>
        <w:rPr>
          <w:rFonts w:ascii="黑体" w:eastAsia="黑体" w:hAnsi="黑体" w:cs="黑体"/>
          <w:b/>
          <w:bCs/>
          <w:color w:val="000000"/>
        </w:rPr>
        <w:t>六、挑战、启示与展望</w:t>
      </w:r>
    </w:p>
    <w:p w14:paraId="31A72539" w14:textId="77777777" w:rsidR="000E7D31" w:rsidRDefault="00E92867">
      <w:pPr>
        <w:pStyle w:val="2"/>
        <w:spacing w:before="280" w:after="160"/>
      </w:pPr>
      <w:r>
        <w:rPr>
          <w:rFonts w:ascii="黑体" w:eastAsia="黑体" w:hAnsi="黑体" w:cs="黑体"/>
          <w:b/>
          <w:bCs/>
          <w:color w:val="000000"/>
          <w:sz w:val="28"/>
          <w:szCs w:val="28"/>
        </w:rPr>
        <w:t>（一）未来监管面临的挑战</w:t>
      </w:r>
    </w:p>
    <w:p w14:paraId="1A60A3A6" w14:textId="1AF18F7C" w:rsidR="000E7D31" w:rsidRPr="00750815" w:rsidRDefault="00750815" w:rsidP="00750815">
      <w:pPr>
        <w:spacing w:after="120" w:line="360" w:lineRule="auto"/>
        <w:ind w:firstLine="480"/>
      </w:pPr>
      <w:r w:rsidRPr="00750815">
        <w:rPr>
          <w:rFonts w:hint="eastAsia"/>
        </w:rPr>
        <w:t>随着宠物网络交易的规范化持续扩大，未来还会面临新的风险与挑战：</w:t>
      </w:r>
      <w:r w:rsidR="00E92867" w:rsidRPr="00750815">
        <w:t>当自动化核验系统错误拦截合规商家的交易时，如何保障行政相对人的申诉与救济渠道</w:t>
      </w:r>
      <w:r w:rsidRPr="00750815">
        <w:rPr>
          <w:rFonts w:hint="eastAsia"/>
        </w:rPr>
        <w:t>成为</w:t>
      </w:r>
      <w:r w:rsidR="00E04B7B">
        <w:rPr>
          <w:rFonts w:hint="eastAsia"/>
        </w:rPr>
        <w:t>亟需解决的</w:t>
      </w:r>
      <w:r w:rsidRPr="00750815">
        <w:rPr>
          <w:rFonts w:hint="eastAsia"/>
        </w:rPr>
        <w:t>制度</w:t>
      </w:r>
      <w:r w:rsidR="00E04B7B">
        <w:rPr>
          <w:rFonts w:hint="eastAsia"/>
        </w:rPr>
        <w:t>问题</w:t>
      </w:r>
      <w:r w:rsidR="00E92867" w:rsidRPr="00750815">
        <w:t>；</w:t>
      </w:r>
      <w:r w:rsidR="00727F58">
        <w:rPr>
          <w:rFonts w:hint="eastAsia"/>
        </w:rPr>
        <w:t>与此同时，</w:t>
      </w:r>
      <w:r w:rsidR="00E92867" w:rsidRPr="00750815">
        <w:t>中西部偏远乡镇推行电子检疫系统时，可能因基础设施落后而产生新的“监管鸿沟”。</w:t>
      </w:r>
    </w:p>
    <w:p w14:paraId="0872D892" w14:textId="77777777" w:rsidR="000E7D31" w:rsidRDefault="00E92867">
      <w:pPr>
        <w:pStyle w:val="2"/>
        <w:spacing w:before="280" w:after="160"/>
      </w:pPr>
      <w:r>
        <w:rPr>
          <w:rFonts w:ascii="黑体" w:eastAsia="黑体" w:hAnsi="黑体" w:cs="黑体"/>
          <w:b/>
          <w:bCs/>
          <w:color w:val="000000"/>
          <w:sz w:val="28"/>
          <w:szCs w:val="28"/>
        </w:rPr>
        <w:t>（二）启示与展望</w:t>
      </w:r>
    </w:p>
    <w:p w14:paraId="38EB1488" w14:textId="13AE4E5F" w:rsidR="000E7D31" w:rsidRDefault="00E92867">
      <w:pPr>
        <w:spacing w:after="120" w:line="360" w:lineRule="auto"/>
        <w:ind w:firstLine="480"/>
      </w:pPr>
      <w:r>
        <w:t>网络宠物交易暴露出的乱象，是对传统动物卫生法制体系的一次压力测试，</w:t>
      </w:r>
      <w:r w:rsidR="006E6F92">
        <w:rPr>
          <w:rFonts w:hint="eastAsia"/>
        </w:rPr>
        <w:t>并</w:t>
      </w:r>
      <w:r>
        <w:t>启示我们：数字经济时代的动物卫生法制建设绝不能固步自封于围墙之内。未来监管的演进方向</w:t>
      </w:r>
      <w:r w:rsidR="001371D2">
        <w:rPr>
          <w:rFonts w:hint="eastAsia"/>
        </w:rPr>
        <w:t>是探索</w:t>
      </w:r>
      <w:r>
        <w:t>构建全数据链条的智慧防控体系，</w:t>
      </w:r>
      <w:r w:rsidR="004B1926">
        <w:rPr>
          <w:rFonts w:hint="eastAsia"/>
        </w:rPr>
        <w:t>通过</w:t>
      </w:r>
      <w:r>
        <w:t>将《动物防疫法》的刚性约束力无缝嵌入电子商务与现代物流流程之中，</w:t>
      </w:r>
      <w:r w:rsidR="000401E6">
        <w:rPr>
          <w:rFonts w:hint="eastAsia"/>
        </w:rPr>
        <w:t>最终实现</w:t>
      </w:r>
      <w:r>
        <w:t>能在公共卫生安全与新型宠物产业发展之间找到真正的法治平衡。</w:t>
      </w:r>
    </w:p>
    <w:p w14:paraId="2D7F87CA" w14:textId="77777777" w:rsidR="000E7D31" w:rsidRPr="00B25AB7" w:rsidRDefault="00E92867">
      <w:pPr>
        <w:pageBreakBefore/>
        <w:spacing w:before="400" w:after="200"/>
        <w:jc w:val="center"/>
        <w:rPr>
          <w:sz w:val="21"/>
          <w:szCs w:val="21"/>
        </w:rPr>
      </w:pPr>
      <w:r w:rsidRPr="00B25AB7">
        <w:rPr>
          <w:rFonts w:ascii="黑体" w:eastAsia="黑体" w:hAnsi="黑体" w:cs="黑体"/>
          <w:b/>
          <w:bCs/>
          <w:color w:val="000000"/>
          <w:sz w:val="21"/>
          <w:szCs w:val="21"/>
        </w:rPr>
        <w:lastRenderedPageBreak/>
        <w:t>参考文献</w:t>
      </w:r>
    </w:p>
    <w:p w14:paraId="763D1FDF" w14:textId="6C6C8D60" w:rsidR="000E7D31" w:rsidRPr="00B25AB7" w:rsidRDefault="00E92867" w:rsidP="00553D08">
      <w:pPr>
        <w:pStyle w:val="a4"/>
        <w:numPr>
          <w:ilvl w:val="0"/>
          <w:numId w:val="2"/>
        </w:numPr>
        <w:spacing w:after="80"/>
        <w:rPr>
          <w:sz w:val="21"/>
          <w:szCs w:val="21"/>
        </w:rPr>
      </w:pPr>
      <w:bookmarkStart w:id="0" w:name="_Ref233006374"/>
      <w:r w:rsidRPr="00B25AB7">
        <w:rPr>
          <w:sz w:val="21"/>
          <w:szCs w:val="21"/>
        </w:rPr>
        <w:t>中华人民共和国农业农村部. 中华人民共和国动物防疫法[S]. 2021年修订.</w:t>
      </w:r>
      <w:bookmarkEnd w:id="0"/>
    </w:p>
    <w:p w14:paraId="7942A876" w14:textId="77777777" w:rsidR="00553D08" w:rsidRPr="00B25AB7" w:rsidRDefault="00553D08" w:rsidP="00553D08">
      <w:pPr>
        <w:pStyle w:val="a4"/>
        <w:numPr>
          <w:ilvl w:val="0"/>
          <w:numId w:val="2"/>
        </w:numPr>
        <w:spacing w:after="80"/>
        <w:rPr>
          <w:sz w:val="21"/>
          <w:szCs w:val="21"/>
        </w:rPr>
      </w:pPr>
      <w:r w:rsidRPr="00B25AB7">
        <w:rPr>
          <w:sz w:val="21"/>
          <w:szCs w:val="21"/>
        </w:rPr>
        <w:t>中华人民共和国全国人民代表大会常务委员会. 中华人民共和国电子商务法[S]. 2018.</w:t>
      </w:r>
    </w:p>
    <w:p w14:paraId="1B7882E7" w14:textId="6FE40E88" w:rsidR="00553D08" w:rsidRPr="00B25AB7" w:rsidRDefault="00553D08" w:rsidP="00553D08">
      <w:pPr>
        <w:pStyle w:val="a4"/>
        <w:numPr>
          <w:ilvl w:val="0"/>
          <w:numId w:val="2"/>
        </w:numPr>
        <w:spacing w:after="80"/>
        <w:rPr>
          <w:sz w:val="21"/>
          <w:szCs w:val="21"/>
        </w:rPr>
      </w:pPr>
      <w:r w:rsidRPr="00B25AB7">
        <w:rPr>
          <w:sz w:val="21"/>
          <w:szCs w:val="21"/>
        </w:rPr>
        <w:t>中华人民共和国民法典[S]. 2020.</w:t>
      </w:r>
    </w:p>
    <w:p w14:paraId="1B0E7A3C" w14:textId="6DDC338E" w:rsidR="00B25AB7" w:rsidRDefault="00B25AB7" w:rsidP="00B25AB7">
      <w:pPr>
        <w:pStyle w:val="a4"/>
        <w:numPr>
          <w:ilvl w:val="0"/>
          <w:numId w:val="2"/>
        </w:numPr>
        <w:spacing w:after="80"/>
        <w:rPr>
          <w:sz w:val="21"/>
          <w:szCs w:val="21"/>
        </w:rPr>
      </w:pPr>
      <w:bookmarkStart w:id="1" w:name="_Ref233006380"/>
      <w:r w:rsidRPr="00B25AB7">
        <w:rPr>
          <w:sz w:val="21"/>
          <w:szCs w:val="21"/>
        </w:rPr>
        <w:t>陈伟生, 张淼洁, 王志刚. 加强我国动物疫病预防控制体系建设的对策建议[J]. 中国科学院院刊, 2020, 35(11): 1384-1389.</w:t>
      </w:r>
      <w:bookmarkEnd w:id="1"/>
    </w:p>
    <w:p w14:paraId="33B2AE92" w14:textId="41908779" w:rsidR="00A67932" w:rsidRPr="00A67932" w:rsidRDefault="00A67932" w:rsidP="00A67932">
      <w:pPr>
        <w:pStyle w:val="a4"/>
        <w:numPr>
          <w:ilvl w:val="0"/>
          <w:numId w:val="2"/>
        </w:numPr>
        <w:spacing w:after="80"/>
        <w:rPr>
          <w:sz w:val="21"/>
          <w:szCs w:val="21"/>
        </w:rPr>
      </w:pPr>
      <w:bookmarkStart w:id="2" w:name="_Ref233006404"/>
      <w:r w:rsidRPr="00B25AB7">
        <w:rPr>
          <w:sz w:val="21"/>
          <w:szCs w:val="21"/>
        </w:rPr>
        <w:t>刘青芸, 邬沛伶, 王湘如, 等. 新形势下我国人兽共患病防控挑战与应对策略[J]. 中国工程科学, 2024, 26(5): 199-211.</w:t>
      </w:r>
      <w:bookmarkEnd w:id="2"/>
    </w:p>
    <w:p w14:paraId="5020A40E" w14:textId="77777777" w:rsidR="00A67932" w:rsidRPr="00A67932" w:rsidRDefault="00553D08" w:rsidP="00553D08">
      <w:pPr>
        <w:pStyle w:val="a4"/>
        <w:numPr>
          <w:ilvl w:val="0"/>
          <w:numId w:val="2"/>
        </w:numPr>
        <w:spacing w:after="80"/>
        <w:rPr>
          <w:sz w:val="21"/>
          <w:szCs w:val="21"/>
        </w:rPr>
      </w:pPr>
      <w:bookmarkStart w:id="3" w:name="_Ref233006484"/>
      <w:r w:rsidRPr="00B25AB7">
        <w:rPr>
          <w:rFonts w:hint="eastAsia"/>
          <w:sz w:val="21"/>
          <w:szCs w:val="21"/>
        </w:rPr>
        <w:t>赵尚军</w:t>
      </w:r>
      <w:r w:rsidRPr="00B25AB7">
        <w:rPr>
          <w:sz w:val="21"/>
          <w:szCs w:val="21"/>
        </w:rPr>
        <w:t>, 傅国璋. 对基层动物防疫检疫工作发展现状的分析思考[J]. 畜牧业环境</w:t>
      </w:r>
      <w:r w:rsidRPr="00B25AB7">
        <w:rPr>
          <w:rFonts w:hint="eastAsia"/>
          <w:sz w:val="21"/>
          <w:szCs w:val="21"/>
        </w:rPr>
        <w:t>，2</w:t>
      </w:r>
      <w:r w:rsidRPr="00B25AB7">
        <w:rPr>
          <w:sz w:val="21"/>
          <w:szCs w:val="21"/>
        </w:rPr>
        <w:t>026 2026(05): 238-239.</w:t>
      </w:r>
      <w:bookmarkEnd w:id="3"/>
    </w:p>
    <w:p w14:paraId="30C15EF2" w14:textId="00328CE5" w:rsidR="00553D08" w:rsidRDefault="00A67932" w:rsidP="00553D08">
      <w:pPr>
        <w:pStyle w:val="a4"/>
        <w:numPr>
          <w:ilvl w:val="0"/>
          <w:numId w:val="2"/>
        </w:numPr>
        <w:spacing w:after="80"/>
        <w:rPr>
          <w:sz w:val="21"/>
          <w:szCs w:val="21"/>
        </w:rPr>
      </w:pPr>
      <w:bookmarkStart w:id="4" w:name="_Ref233006485"/>
      <w:r w:rsidRPr="00A67932">
        <w:rPr>
          <w:sz w:val="21"/>
          <w:szCs w:val="21"/>
        </w:rPr>
        <w:t>刘顺能,王乙存,周婧,等.云南省文山州基层动物检疫工作的困境与对策[J].养殖与饲料,2026,25(6):147-150.</w:t>
      </w:r>
      <w:bookmarkEnd w:id="4"/>
    </w:p>
    <w:p w14:paraId="2E53CCAA" w14:textId="6F6306A0" w:rsidR="004000D7" w:rsidRPr="00B25AB7" w:rsidRDefault="004000D7" w:rsidP="00553D08">
      <w:pPr>
        <w:pStyle w:val="a4"/>
        <w:numPr>
          <w:ilvl w:val="0"/>
          <w:numId w:val="2"/>
        </w:numPr>
        <w:spacing w:after="80"/>
        <w:rPr>
          <w:sz w:val="21"/>
          <w:szCs w:val="21"/>
        </w:rPr>
      </w:pPr>
      <w:bookmarkStart w:id="5" w:name="_Ref233006518"/>
      <w:r w:rsidRPr="004000D7">
        <w:rPr>
          <w:sz w:val="21"/>
          <w:szCs w:val="21"/>
        </w:rPr>
        <w:t>周子涵,赵绍阳.未经检疫调运动物及动物产品违法行为的法益价值与自由裁量标准[J].中国动物检疫,2020,37(8):69-72.</w:t>
      </w:r>
      <w:bookmarkEnd w:id="5"/>
    </w:p>
    <w:sectPr w:rsidR="004000D7" w:rsidRPr="00B25AB7">
      <w:headerReference w:type="even" r:id="rId8"/>
      <w:headerReference w:type="default" r:id="rId9"/>
      <w:footerReference w:type="even" r:id="rId10"/>
      <w:footerReference w:type="default" r:id="rId11"/>
      <w:headerReference w:type="first" r:id="rId12"/>
      <w:footerReference w:type="first" r:id="rId13"/>
      <w:pgSz w:w="11906" w:h="16838"/>
      <w:pgMar w:top="1440" w:right="1701"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46FE6C" w14:textId="77777777" w:rsidR="008E53DF" w:rsidRDefault="008E53DF">
      <w:r>
        <w:separator/>
      </w:r>
    </w:p>
  </w:endnote>
  <w:endnote w:type="continuationSeparator" w:id="0">
    <w:p w14:paraId="2C557EAF" w14:textId="77777777" w:rsidR="008E53DF" w:rsidRDefault="008E53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094F4" w14:textId="77777777" w:rsidR="00132C6A" w:rsidRDefault="00132C6A">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24659" w14:textId="77777777" w:rsidR="000E7D31" w:rsidRDefault="00E92867">
    <w:pPr>
      <w:jc w:val="center"/>
    </w:pPr>
    <w:r>
      <w:rPr>
        <w:sz w:val="18"/>
        <w:szCs w:val="18"/>
      </w:rPr>
      <w:t xml:space="preserve">第 </w:t>
    </w:r>
    <w:r>
      <w:rPr>
        <w:sz w:val="18"/>
        <w:szCs w:val="18"/>
      </w:rPr>
      <w:fldChar w:fldCharType="begin"/>
    </w:r>
    <w:r>
      <w:rPr>
        <w:sz w:val="18"/>
        <w:szCs w:val="18"/>
      </w:rPr>
      <w:instrText>PAGE</w:instrText>
    </w:r>
    <w:r>
      <w:rPr>
        <w:sz w:val="18"/>
        <w:szCs w:val="18"/>
      </w:rPr>
      <w:fldChar w:fldCharType="separate"/>
    </w:r>
    <w:r w:rsidR="006B070D">
      <w:rPr>
        <w:noProof/>
        <w:sz w:val="18"/>
        <w:szCs w:val="18"/>
      </w:rPr>
      <w:t>1</w:t>
    </w:r>
    <w:r>
      <w:rPr>
        <w:sz w:val="18"/>
        <w:szCs w:val="18"/>
      </w:rPr>
      <w:fldChar w:fldCharType="end"/>
    </w:r>
    <w:r>
      <w:rPr>
        <w:sz w:val="18"/>
        <w:szCs w:val="18"/>
      </w:rP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EBCCC" w14:textId="77777777" w:rsidR="00132C6A" w:rsidRDefault="00132C6A">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9435A6" w14:textId="77777777" w:rsidR="008E53DF" w:rsidRDefault="008E53DF">
      <w:r>
        <w:separator/>
      </w:r>
    </w:p>
  </w:footnote>
  <w:footnote w:type="continuationSeparator" w:id="0">
    <w:p w14:paraId="15B5EB87" w14:textId="77777777" w:rsidR="008E53DF" w:rsidRDefault="008E53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67666" w14:textId="77777777" w:rsidR="00132C6A" w:rsidRDefault="00132C6A">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23631" w14:textId="1B62E12A" w:rsidR="000E7D31" w:rsidRDefault="00132C6A">
    <w:pPr>
      <w:pBdr>
        <w:bottom w:val="single" w:sz="4" w:space="4" w:color="999999"/>
      </w:pBdr>
      <w:jc w:val="center"/>
    </w:pPr>
    <w:r>
      <w:rPr>
        <w:rFonts w:hint="eastAsia"/>
        <w:sz w:val="18"/>
        <w:szCs w:val="18"/>
      </w:rPr>
      <w:t>《</w:t>
    </w:r>
    <w:r w:rsidR="00E92867">
      <w:rPr>
        <w:sz w:val="18"/>
        <w:szCs w:val="18"/>
      </w:rPr>
      <w:t>动物卫生法规</w:t>
    </w:r>
    <w:r>
      <w:rPr>
        <w:rFonts w:hint="eastAsia"/>
        <w:sz w:val="18"/>
        <w:szCs w:val="18"/>
      </w:rPr>
      <w:t>》</w:t>
    </w:r>
    <w:r w:rsidR="00E92867">
      <w:rPr>
        <w:sz w:val="18"/>
        <w:szCs w:val="18"/>
      </w:rPr>
      <w:t>课程论文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F600F" w14:textId="77777777" w:rsidR="00132C6A" w:rsidRDefault="00132C6A">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D1492"/>
    <w:multiLevelType w:val="hybridMultilevel"/>
    <w:tmpl w:val="BFB2B368"/>
    <w:lvl w:ilvl="0" w:tplc="53B8440C">
      <w:start w:val="1"/>
      <w:numFmt w:val="bullet"/>
      <w:lvlText w:val="●"/>
      <w:lvlJc w:val="left"/>
      <w:pPr>
        <w:ind w:left="720" w:hanging="360"/>
      </w:pPr>
    </w:lvl>
    <w:lvl w:ilvl="1" w:tplc="FFE2206C">
      <w:start w:val="1"/>
      <w:numFmt w:val="bullet"/>
      <w:lvlText w:val="○"/>
      <w:lvlJc w:val="left"/>
      <w:pPr>
        <w:ind w:left="1440" w:hanging="360"/>
      </w:pPr>
    </w:lvl>
    <w:lvl w:ilvl="2" w:tplc="3C54F274">
      <w:start w:val="1"/>
      <w:numFmt w:val="bullet"/>
      <w:lvlText w:val="■"/>
      <w:lvlJc w:val="left"/>
      <w:pPr>
        <w:ind w:left="2160" w:hanging="360"/>
      </w:pPr>
    </w:lvl>
    <w:lvl w:ilvl="3" w:tplc="E6CCDCE4">
      <w:start w:val="1"/>
      <w:numFmt w:val="bullet"/>
      <w:lvlText w:val="●"/>
      <w:lvlJc w:val="left"/>
      <w:pPr>
        <w:ind w:left="2880" w:hanging="360"/>
      </w:pPr>
    </w:lvl>
    <w:lvl w:ilvl="4" w:tplc="9D4E1F24">
      <w:start w:val="1"/>
      <w:numFmt w:val="bullet"/>
      <w:lvlText w:val="○"/>
      <w:lvlJc w:val="left"/>
      <w:pPr>
        <w:ind w:left="3600" w:hanging="360"/>
      </w:pPr>
    </w:lvl>
    <w:lvl w:ilvl="5" w:tplc="F15E4C9C">
      <w:start w:val="1"/>
      <w:numFmt w:val="bullet"/>
      <w:lvlText w:val="■"/>
      <w:lvlJc w:val="left"/>
      <w:pPr>
        <w:ind w:left="4320" w:hanging="360"/>
      </w:pPr>
    </w:lvl>
    <w:lvl w:ilvl="6" w:tplc="73D8B024">
      <w:start w:val="1"/>
      <w:numFmt w:val="bullet"/>
      <w:lvlText w:val="●"/>
      <w:lvlJc w:val="left"/>
      <w:pPr>
        <w:ind w:left="5040" w:hanging="360"/>
      </w:pPr>
    </w:lvl>
    <w:lvl w:ilvl="7" w:tplc="F6386632">
      <w:start w:val="1"/>
      <w:numFmt w:val="bullet"/>
      <w:lvlText w:val="●"/>
      <w:lvlJc w:val="left"/>
      <w:pPr>
        <w:ind w:left="5760" w:hanging="360"/>
      </w:pPr>
    </w:lvl>
    <w:lvl w:ilvl="8" w:tplc="EB141D7E">
      <w:start w:val="1"/>
      <w:numFmt w:val="bullet"/>
      <w:lvlText w:val="●"/>
      <w:lvlJc w:val="left"/>
      <w:pPr>
        <w:ind w:left="6480" w:hanging="360"/>
      </w:pPr>
    </w:lvl>
  </w:abstractNum>
  <w:abstractNum w:abstractNumId="1" w15:restartNumberingAfterBreak="0">
    <w:nsid w:val="33381E96"/>
    <w:multiLevelType w:val="hybridMultilevel"/>
    <w:tmpl w:val="19A8BAF6"/>
    <w:lvl w:ilvl="0" w:tplc="F442428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bordersDoNotSurroundHeader/>
  <w:bordersDoNotSurroundFooter/>
  <w:proofState w:spelling="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D31"/>
    <w:rsid w:val="000401E6"/>
    <w:rsid w:val="00065592"/>
    <w:rsid w:val="0009622F"/>
    <w:rsid w:val="000D3E56"/>
    <w:rsid w:val="000E7D31"/>
    <w:rsid w:val="00111208"/>
    <w:rsid w:val="00132C6A"/>
    <w:rsid w:val="001371D2"/>
    <w:rsid w:val="00137970"/>
    <w:rsid w:val="001453FB"/>
    <w:rsid w:val="00145B0E"/>
    <w:rsid w:val="001971EC"/>
    <w:rsid w:val="001B3523"/>
    <w:rsid w:val="001E73B8"/>
    <w:rsid w:val="00245697"/>
    <w:rsid w:val="003D0F5B"/>
    <w:rsid w:val="003F7AAB"/>
    <w:rsid w:val="004000D7"/>
    <w:rsid w:val="00447740"/>
    <w:rsid w:val="00451EB2"/>
    <w:rsid w:val="00481A91"/>
    <w:rsid w:val="004B1926"/>
    <w:rsid w:val="004B5055"/>
    <w:rsid w:val="005020D8"/>
    <w:rsid w:val="00553D08"/>
    <w:rsid w:val="0058101E"/>
    <w:rsid w:val="005E4B88"/>
    <w:rsid w:val="005F4D96"/>
    <w:rsid w:val="00601653"/>
    <w:rsid w:val="006B070D"/>
    <w:rsid w:val="006E6F92"/>
    <w:rsid w:val="00727F58"/>
    <w:rsid w:val="00730796"/>
    <w:rsid w:val="007356F6"/>
    <w:rsid w:val="00750815"/>
    <w:rsid w:val="00765E8A"/>
    <w:rsid w:val="00771A3E"/>
    <w:rsid w:val="007B5181"/>
    <w:rsid w:val="00834F0E"/>
    <w:rsid w:val="00842659"/>
    <w:rsid w:val="00844891"/>
    <w:rsid w:val="008A3A9B"/>
    <w:rsid w:val="008E53DF"/>
    <w:rsid w:val="00951822"/>
    <w:rsid w:val="00966B8C"/>
    <w:rsid w:val="009E3925"/>
    <w:rsid w:val="00A40FF2"/>
    <w:rsid w:val="00A67932"/>
    <w:rsid w:val="00AC2E78"/>
    <w:rsid w:val="00B139A7"/>
    <w:rsid w:val="00B25AB7"/>
    <w:rsid w:val="00B47D4E"/>
    <w:rsid w:val="00B85E34"/>
    <w:rsid w:val="00B91A3D"/>
    <w:rsid w:val="00C05BB2"/>
    <w:rsid w:val="00C142B9"/>
    <w:rsid w:val="00C62BBB"/>
    <w:rsid w:val="00C9628B"/>
    <w:rsid w:val="00CC748D"/>
    <w:rsid w:val="00D311E0"/>
    <w:rsid w:val="00D668E3"/>
    <w:rsid w:val="00D80566"/>
    <w:rsid w:val="00DD717B"/>
    <w:rsid w:val="00E04B7B"/>
    <w:rsid w:val="00E436E0"/>
    <w:rsid w:val="00E92867"/>
    <w:rsid w:val="00EF21F1"/>
    <w:rsid w:val="00EF542A"/>
    <w:rsid w:val="00F148F6"/>
    <w:rsid w:val="00F75F0E"/>
    <w:rsid w:val="00F83195"/>
    <w:rsid w:val="00F9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972308"/>
  <w15:docId w15:val="{D804B381-E610-473E-8198-88232EED3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HTML">
    <w:name w:val="HTML Preformatted"/>
    <w:basedOn w:val="a"/>
    <w:link w:val="HTML0"/>
    <w:uiPriority w:val="99"/>
    <w:semiHidden/>
    <w:unhideWhenUsed/>
    <w:rsid w:val="00765E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style>
  <w:style w:type="character" w:customStyle="1" w:styleId="HTML0">
    <w:name w:val="HTML 预设格式 字符"/>
    <w:basedOn w:val="a0"/>
    <w:link w:val="HTML"/>
    <w:uiPriority w:val="99"/>
    <w:semiHidden/>
    <w:rsid w:val="00765E8A"/>
  </w:style>
  <w:style w:type="paragraph" w:styleId="ac">
    <w:name w:val="header"/>
    <w:basedOn w:val="a"/>
    <w:link w:val="ad"/>
    <w:uiPriority w:val="99"/>
    <w:unhideWhenUsed/>
    <w:rsid w:val="00132C6A"/>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132C6A"/>
    <w:rPr>
      <w:sz w:val="18"/>
      <w:szCs w:val="18"/>
    </w:rPr>
  </w:style>
  <w:style w:type="paragraph" w:styleId="ae">
    <w:name w:val="footer"/>
    <w:basedOn w:val="a"/>
    <w:link w:val="af"/>
    <w:uiPriority w:val="99"/>
    <w:unhideWhenUsed/>
    <w:rsid w:val="00132C6A"/>
    <w:pPr>
      <w:tabs>
        <w:tab w:val="center" w:pos="4153"/>
        <w:tab w:val="right" w:pos="8306"/>
      </w:tabs>
      <w:snapToGrid w:val="0"/>
      <w:jc w:val="left"/>
    </w:pPr>
    <w:rPr>
      <w:sz w:val="18"/>
      <w:szCs w:val="18"/>
    </w:rPr>
  </w:style>
  <w:style w:type="character" w:customStyle="1" w:styleId="af">
    <w:name w:val="页脚 字符"/>
    <w:basedOn w:val="a0"/>
    <w:link w:val="ae"/>
    <w:uiPriority w:val="99"/>
    <w:rsid w:val="00132C6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557959">
      <w:bodyDiv w:val="1"/>
      <w:marLeft w:val="0"/>
      <w:marRight w:val="0"/>
      <w:marTop w:val="0"/>
      <w:marBottom w:val="0"/>
      <w:divBdr>
        <w:top w:val="none" w:sz="0" w:space="0" w:color="auto"/>
        <w:left w:val="none" w:sz="0" w:space="0" w:color="auto"/>
        <w:bottom w:val="none" w:sz="0" w:space="0" w:color="auto"/>
        <w:right w:val="none" w:sz="0" w:space="0" w:color="auto"/>
      </w:divBdr>
    </w:div>
    <w:div w:id="158741845">
      <w:bodyDiv w:val="1"/>
      <w:marLeft w:val="0"/>
      <w:marRight w:val="0"/>
      <w:marTop w:val="0"/>
      <w:marBottom w:val="0"/>
      <w:divBdr>
        <w:top w:val="none" w:sz="0" w:space="0" w:color="auto"/>
        <w:left w:val="none" w:sz="0" w:space="0" w:color="auto"/>
        <w:bottom w:val="none" w:sz="0" w:space="0" w:color="auto"/>
        <w:right w:val="none" w:sz="0" w:space="0" w:color="auto"/>
      </w:divBdr>
    </w:div>
    <w:div w:id="426389313">
      <w:bodyDiv w:val="1"/>
      <w:marLeft w:val="0"/>
      <w:marRight w:val="0"/>
      <w:marTop w:val="0"/>
      <w:marBottom w:val="0"/>
      <w:divBdr>
        <w:top w:val="none" w:sz="0" w:space="0" w:color="auto"/>
        <w:left w:val="none" w:sz="0" w:space="0" w:color="auto"/>
        <w:bottom w:val="none" w:sz="0" w:space="0" w:color="auto"/>
        <w:right w:val="none" w:sz="0" w:space="0" w:color="auto"/>
      </w:divBdr>
    </w:div>
    <w:div w:id="879591105">
      <w:bodyDiv w:val="1"/>
      <w:marLeft w:val="0"/>
      <w:marRight w:val="0"/>
      <w:marTop w:val="0"/>
      <w:marBottom w:val="0"/>
      <w:divBdr>
        <w:top w:val="none" w:sz="0" w:space="0" w:color="auto"/>
        <w:left w:val="none" w:sz="0" w:space="0" w:color="auto"/>
        <w:bottom w:val="none" w:sz="0" w:space="0" w:color="auto"/>
        <w:right w:val="none" w:sz="0" w:space="0" w:color="auto"/>
      </w:divBdr>
    </w:div>
    <w:div w:id="934247158">
      <w:bodyDiv w:val="1"/>
      <w:marLeft w:val="0"/>
      <w:marRight w:val="0"/>
      <w:marTop w:val="0"/>
      <w:marBottom w:val="0"/>
      <w:divBdr>
        <w:top w:val="none" w:sz="0" w:space="0" w:color="auto"/>
        <w:left w:val="none" w:sz="0" w:space="0" w:color="auto"/>
        <w:bottom w:val="none" w:sz="0" w:space="0" w:color="auto"/>
        <w:right w:val="none" w:sz="0" w:space="0" w:color="auto"/>
      </w:divBdr>
    </w:div>
    <w:div w:id="953171079">
      <w:bodyDiv w:val="1"/>
      <w:marLeft w:val="0"/>
      <w:marRight w:val="0"/>
      <w:marTop w:val="0"/>
      <w:marBottom w:val="0"/>
      <w:divBdr>
        <w:top w:val="none" w:sz="0" w:space="0" w:color="auto"/>
        <w:left w:val="none" w:sz="0" w:space="0" w:color="auto"/>
        <w:bottom w:val="none" w:sz="0" w:space="0" w:color="auto"/>
        <w:right w:val="none" w:sz="0" w:space="0" w:color="auto"/>
      </w:divBdr>
    </w:div>
    <w:div w:id="13122474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B7C44-4CE3-45AB-A8EE-B617983DF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6</Pages>
  <Words>859</Words>
  <Characters>4897</Characters>
  <Application>Microsoft Office Word</Application>
  <DocSecurity>0</DocSecurity>
  <Lines>40</Lines>
  <Paragraphs>11</Paragraphs>
  <ScaleCrop>false</ScaleCrop>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启蒙 吕</cp:lastModifiedBy>
  <cp:revision>70</cp:revision>
  <dcterms:created xsi:type="dcterms:W3CDTF">2026-06-19T12:08:00Z</dcterms:created>
  <dcterms:modified xsi:type="dcterms:W3CDTF">2026-06-23T09:19:00Z</dcterms:modified>
</cp:coreProperties>
</file>