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2660D" w14:textId="0E30F6A8" w:rsidR="000F78A8" w:rsidRDefault="0003186A">
      <w:pPr>
        <w:rPr>
          <w:rFonts w:ascii="黑体" w:eastAsia="黑体" w:hAnsi="黑体"/>
          <w:b/>
          <w:bCs/>
          <w:sz w:val="32"/>
          <w:szCs w:val="36"/>
        </w:rPr>
      </w:pPr>
      <w:r w:rsidRPr="0003186A">
        <w:rPr>
          <w:rFonts w:ascii="黑体" w:eastAsia="黑体" w:hAnsi="黑体" w:hint="eastAsia"/>
          <w:b/>
          <w:bCs/>
          <w:sz w:val="32"/>
          <w:szCs w:val="36"/>
        </w:rPr>
        <w:t>附件</w:t>
      </w:r>
    </w:p>
    <w:p w14:paraId="077343E8" w14:textId="616982C5" w:rsidR="0003186A" w:rsidRDefault="0003186A">
      <w:pPr>
        <w:rPr>
          <w:rFonts w:ascii="黑体" w:eastAsia="黑体" w:hAnsi="黑体"/>
          <w:b/>
          <w:bCs/>
          <w:sz w:val="32"/>
          <w:szCs w:val="36"/>
        </w:rPr>
      </w:pPr>
      <w:r>
        <w:rPr>
          <w:rFonts w:ascii="黑体" w:eastAsia="黑体" w:hAnsi="黑体"/>
          <w:b/>
          <w:bCs/>
          <w:noProof/>
          <w:sz w:val="32"/>
          <w:szCs w:val="36"/>
        </w:rPr>
        <w:drawing>
          <wp:inline distT="0" distB="0" distL="0" distR="0" wp14:anchorId="32101758" wp14:editId="2702C9AE">
            <wp:extent cx="5273040" cy="60579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AC5D" w14:textId="34130771" w:rsidR="0003186A" w:rsidRPr="0003186A" w:rsidRDefault="0003186A" w:rsidP="0003186A">
      <w:pPr>
        <w:rPr>
          <w:rFonts w:ascii="思源宋体" w:eastAsia="思源宋体" w:hAnsi="思源宋体" w:hint="eastAsia"/>
          <w:sz w:val="15"/>
          <w:szCs w:val="16"/>
        </w:rPr>
      </w:pPr>
      <w:r w:rsidRPr="0003186A">
        <w:rPr>
          <w:rFonts w:ascii="思源宋体" w:eastAsia="思源宋体" w:hAnsi="思源宋体"/>
          <w:sz w:val="15"/>
          <w:szCs w:val="16"/>
        </w:rPr>
        <w:t xml:space="preserve">Figure 1 | 病原菌鉴定与雏鸡挑战模型中的全身分布分析。(a–d) 不同攻毒剂量及给药途径下，雏鸡各脏器样本 </w:t>
      </w:r>
      <w:proofErr w:type="spellStart"/>
      <w:r w:rsidRPr="0003186A">
        <w:rPr>
          <w:rFonts w:ascii="思源宋体" w:eastAsia="思源宋体" w:hAnsi="思源宋体"/>
          <w:sz w:val="15"/>
          <w:szCs w:val="16"/>
        </w:rPr>
        <w:t>ratA</w:t>
      </w:r>
      <w:proofErr w:type="spellEnd"/>
      <w:r w:rsidRPr="0003186A">
        <w:rPr>
          <w:rFonts w:ascii="思源宋体" w:eastAsia="思源宋体" w:hAnsi="思源宋体"/>
          <w:sz w:val="15"/>
          <w:szCs w:val="16"/>
        </w:rPr>
        <w:t xml:space="preserve"> 基因 PCR 扩增的代表性电泳图。面板依次对应对照组 (a)、低剂量组</w:t>
      </w:r>
      <w:r>
        <w:rPr>
          <w:rFonts w:ascii="思源宋体" w:eastAsia="思源宋体" w:hAnsi="思源宋体" w:hint="eastAsia"/>
          <w:sz w:val="15"/>
          <w:szCs w:val="16"/>
        </w:rPr>
        <w:t>；</w:t>
      </w:r>
      <w:r w:rsidRPr="0003186A">
        <w:rPr>
          <w:rFonts w:ascii="思源宋体" w:eastAsia="思源宋体" w:hAnsi="思源宋体"/>
          <w:sz w:val="15"/>
          <w:szCs w:val="16"/>
        </w:rPr>
        <w:t>(b)、中剂量组 (c) 和高剂量组 (d)。每个面板均包含两种给药途径（左侧：口服 PO；右侧：注射 Inj.）。泳道分布依次为 DNA</w:t>
      </w:r>
      <w:r>
        <w:rPr>
          <w:rFonts w:ascii="思源宋体" w:eastAsia="思源宋体" w:hAnsi="思源宋体" w:hint="eastAsia"/>
          <w:sz w:val="15"/>
          <w:szCs w:val="16"/>
        </w:rPr>
        <w:t xml:space="preserve"> </w:t>
      </w:r>
      <w:r w:rsidRPr="0003186A">
        <w:rPr>
          <w:rFonts w:ascii="思源宋体" w:eastAsia="思源宋体" w:hAnsi="思源宋体"/>
          <w:sz w:val="15"/>
          <w:szCs w:val="16"/>
        </w:rPr>
        <w:t>Marker、阴性对照 (-)、阳性对照 (+)及五种组织样本（心、肝、脾、肺、肾）。结果显示，仅阳性对照组可见清晰的目标条带，实验组脏器样本未见特征性扩增，提示组织内病原载量低于检测限或受内源性抑制物干扰。为提高条带可视度，图像已通过 2%–98% 分位数对比度增强处理。(e) 培养基分离株16S rRNA 序列的 BLAS</w:t>
      </w:r>
      <w:r w:rsidR="0033497F">
        <w:rPr>
          <w:rFonts w:ascii="思源宋体" w:eastAsia="思源宋体" w:hAnsi="思源宋体" w:hint="eastAsia"/>
          <w:sz w:val="15"/>
          <w:szCs w:val="16"/>
        </w:rPr>
        <w:t>T</w:t>
      </w:r>
      <w:r w:rsidRPr="0003186A">
        <w:rPr>
          <w:rFonts w:ascii="思源宋体" w:eastAsia="思源宋体" w:hAnsi="思源宋体"/>
          <w:sz w:val="15"/>
          <w:szCs w:val="16"/>
        </w:rPr>
        <w:t>比对结果汇总表。前 5 位匹配项的一致性均高</w:t>
      </w:r>
      <w:r>
        <w:rPr>
          <w:rFonts w:ascii="思源宋体" w:eastAsia="思源宋体" w:hAnsi="思源宋体" w:hint="eastAsia"/>
          <w:sz w:val="15"/>
          <w:szCs w:val="16"/>
        </w:rPr>
        <w:t>达</w:t>
      </w:r>
      <w:r w:rsidRPr="0003186A">
        <w:rPr>
          <w:rFonts w:ascii="思源宋体" w:eastAsia="思源宋体" w:hAnsi="思源宋体"/>
          <w:sz w:val="15"/>
          <w:szCs w:val="16"/>
        </w:rPr>
        <w:t>99.65%，从分子水平确证了挑战菌株为沙门氏菌（Salmonella sp.）。</w:t>
      </w:r>
    </w:p>
    <w:sectPr w:rsidR="0003186A" w:rsidRPr="00031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71"/>
    <w:rsid w:val="0003186A"/>
    <w:rsid w:val="000F78A8"/>
    <w:rsid w:val="0033497F"/>
    <w:rsid w:val="0071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FF73"/>
  <w15:chartTrackingRefBased/>
  <w15:docId w15:val="{B8B09174-A67F-4D4E-88CB-E839F677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5</cp:revision>
  <dcterms:created xsi:type="dcterms:W3CDTF">2026-06-06T10:11:00Z</dcterms:created>
  <dcterms:modified xsi:type="dcterms:W3CDTF">2026-06-06T10:16:00Z</dcterms:modified>
</cp:coreProperties>
</file>