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C3BB26" w14:textId="329B6728" w:rsidR="00A36F3C" w:rsidRDefault="00EA4006">
      <w:pPr>
        <w:rPr>
          <w:rFonts w:ascii="黑体" w:eastAsia="黑体" w:hAnsi="黑体"/>
          <w:b/>
          <w:bCs/>
          <w:sz w:val="32"/>
          <w:szCs w:val="36"/>
        </w:rPr>
      </w:pPr>
      <w:r w:rsidRPr="00EA4006">
        <w:rPr>
          <w:rFonts w:ascii="黑体" w:eastAsia="黑体" w:hAnsi="黑体" w:hint="eastAsia"/>
          <w:b/>
          <w:bCs/>
          <w:sz w:val="32"/>
          <w:szCs w:val="36"/>
        </w:rPr>
        <w:t>附页</w:t>
      </w:r>
    </w:p>
    <w:p w14:paraId="0ED12EB2" w14:textId="4020CD2E" w:rsidR="00EA4006" w:rsidRDefault="00EA4006">
      <w:pPr>
        <w:rPr>
          <w:rFonts w:ascii="黑体" w:eastAsia="黑体" w:hAnsi="黑体"/>
          <w:b/>
          <w:bCs/>
          <w:sz w:val="32"/>
          <w:szCs w:val="36"/>
        </w:rPr>
      </w:pPr>
      <w:r>
        <w:rPr>
          <w:rFonts w:ascii="黑体" w:eastAsia="黑体" w:hAnsi="黑体"/>
          <w:b/>
          <w:bCs/>
          <w:noProof/>
          <w:sz w:val="32"/>
          <w:szCs w:val="36"/>
        </w:rPr>
        <w:drawing>
          <wp:inline distT="0" distB="0" distL="0" distR="0" wp14:anchorId="493F566A" wp14:editId="39772442">
            <wp:extent cx="5265420" cy="236982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2369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4755B5" w14:textId="2F1E6A5E" w:rsidR="00EA4006" w:rsidRDefault="00EA4006" w:rsidP="00EA4006">
      <w:pPr>
        <w:rPr>
          <w:rFonts w:ascii="思源宋体" w:eastAsia="思源宋体" w:hAnsi="思源宋体"/>
          <w:sz w:val="16"/>
          <w:szCs w:val="18"/>
        </w:rPr>
      </w:pPr>
      <w:r w:rsidRPr="00EA4006">
        <w:rPr>
          <w:rFonts w:ascii="思源宋体" w:eastAsia="思源宋体" w:hAnsi="思源宋体"/>
          <w:sz w:val="16"/>
          <w:szCs w:val="18"/>
        </w:rPr>
        <w:t>图 1 | 市售猪肉制品及环境接触面中非洲猪瘟病毒 (ASFV) 污染的溯源分析。</w:t>
      </w:r>
    </w:p>
    <w:p w14:paraId="456C2D23" w14:textId="67BD58D3" w:rsidR="00EA4006" w:rsidRPr="00EA4006" w:rsidRDefault="00EA4006" w:rsidP="00EA4006">
      <w:pPr>
        <w:rPr>
          <w:rFonts w:ascii="思源宋体" w:eastAsia="思源宋体" w:hAnsi="思源宋体" w:hint="eastAsia"/>
          <w:sz w:val="16"/>
          <w:szCs w:val="18"/>
        </w:rPr>
      </w:pPr>
      <w:r w:rsidRPr="00EA4006">
        <w:rPr>
          <w:rFonts w:ascii="思源宋体" w:eastAsia="思源宋体" w:hAnsi="思源宋体"/>
          <w:sz w:val="16"/>
          <w:szCs w:val="18"/>
        </w:rPr>
        <w:t xml:space="preserve"> (左侧) qPCR Cq 值以带截断 Y 轴的单维散点图呈现，该截断轴设计旨在兼容高载量环境拭子数据的同时，保持常规市售样本的数据分辨率。图中每个彩色圆点代表 qPCR板上的一个独立有效扩增孔（n ≥1）。黑色实线代表每个特定来源组的中位数。为评估批次特异性污染，市售样本大类均被细分为独立的采样源（例如：生猪肉 A 与B，蛋饺 A 与 B）。(右侧) 汇总表详细列出了各组的平均 Cq 值及标准差（μ ± σ），以及有效扩增的孔位数（n）。经过 40个循环未出现扩增曲线的样本标记为未检出（N.D.）。数据揭示了高度的源头聚集性污染模式；值得注意的是，ASFV核酸仅在蛋饺源头 B 中被检出（Cq 26.17），而源头 A 全为阴性。此外，环境拭子（砧板 A）表现出最高的 ASFV 载量（Cq 20.82 ±4.41），凸显了其作为加工过程中交叉污染关键节点的风险。</w:t>
      </w:r>
    </w:p>
    <w:sectPr w:rsidR="00EA4006" w:rsidRPr="00EA400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思源宋体">
    <w:panose1 w:val="02020400000000000000"/>
    <w:charset w:val="86"/>
    <w:family w:val="roman"/>
    <w:notTrueType/>
    <w:pitch w:val="variable"/>
    <w:sig w:usb0="30000287" w:usb1="2BDF3C10" w:usb2="00000016" w:usb3="00000000" w:csb0="002E0107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350B"/>
    <w:rsid w:val="00134E10"/>
    <w:rsid w:val="00A36F3C"/>
    <w:rsid w:val="00EA4006"/>
    <w:rsid w:val="00EE35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9CFF95"/>
  <w15:chartTrackingRefBased/>
  <w15:docId w15:val="{C3DB4597-C8A4-4D63-8627-46F9E468EF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64</Words>
  <Characters>370</Characters>
  <Application>Microsoft Office Word</Application>
  <DocSecurity>0</DocSecurity>
  <Lines>3</Lines>
  <Paragraphs>1</Paragraphs>
  <ScaleCrop>false</ScaleCrop>
  <Company/>
  <LinksUpToDate>false</LinksUpToDate>
  <CharactersWithSpaces>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启蒙 吕</dc:creator>
  <cp:keywords/>
  <dc:description/>
  <cp:lastModifiedBy>启蒙 吕</cp:lastModifiedBy>
  <cp:revision>3</cp:revision>
  <dcterms:created xsi:type="dcterms:W3CDTF">2026-06-11T12:44:00Z</dcterms:created>
  <dcterms:modified xsi:type="dcterms:W3CDTF">2026-06-11T12:48:00Z</dcterms:modified>
</cp:coreProperties>
</file>