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2611B" w14:textId="56A11A07" w:rsidR="00CE25FA" w:rsidRPr="00CE25FA" w:rsidRDefault="00CE25FA" w:rsidP="00CE25FA">
      <w:pPr>
        <w:rPr>
          <w:rFonts w:ascii="黑体" w:eastAsia="黑体" w:hAnsi="黑体" w:hint="eastAsia"/>
          <w:b/>
          <w:bCs/>
          <w:sz w:val="32"/>
          <w:szCs w:val="36"/>
        </w:rPr>
      </w:pPr>
      <w:r w:rsidRPr="00CE25FA">
        <w:rPr>
          <w:rFonts w:ascii="黑体" w:eastAsia="黑体" w:hAnsi="黑体" w:hint="eastAsia"/>
          <w:b/>
          <w:bCs/>
          <w:sz w:val="32"/>
          <w:szCs w:val="36"/>
        </w:rPr>
        <w:t>附件</w:t>
      </w:r>
      <w:r>
        <w:rPr>
          <w:rFonts w:ascii="黑体" w:eastAsia="黑体" w:hAnsi="黑体" w:hint="eastAsia"/>
          <w:b/>
          <w:bCs/>
          <w:sz w:val="32"/>
          <w:szCs w:val="36"/>
        </w:rPr>
        <w:t>1</w:t>
      </w:r>
    </w:p>
    <w:p w14:paraId="7CE34F9C" w14:textId="1213D3B3" w:rsidR="009F3B98" w:rsidRDefault="00DB1101" w:rsidP="00DB1101">
      <w:pPr>
        <w:jc w:val="center"/>
      </w:pPr>
      <w:r>
        <w:rPr>
          <w:noProof/>
        </w:rPr>
        <w:drawing>
          <wp:inline distT="0" distB="0" distL="0" distR="0" wp14:anchorId="6F79E3F8" wp14:editId="46029BB7">
            <wp:extent cx="3718560" cy="26898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3380" w14:textId="74D0183E" w:rsidR="00A76B88" w:rsidRPr="00607D39" w:rsidRDefault="00A76B88" w:rsidP="00A76B88">
      <w:pPr>
        <w:rPr>
          <w:rFonts w:ascii="思源宋体" w:eastAsia="思源宋体" w:hAnsi="思源宋体" w:hint="eastAsia"/>
          <w:sz w:val="15"/>
          <w:szCs w:val="16"/>
        </w:rPr>
      </w:pPr>
      <w:r w:rsidRPr="00A76B88">
        <w:rPr>
          <w:rFonts w:ascii="思源宋体" w:eastAsia="思源宋体" w:hAnsi="思源宋体"/>
          <w:sz w:val="15"/>
          <w:szCs w:val="16"/>
        </w:rPr>
        <w:t xml:space="preserve">图1. </w:t>
      </w:r>
      <w:proofErr w:type="spellStart"/>
      <w:r w:rsidRPr="00A76B88">
        <w:rPr>
          <w:rFonts w:ascii="思源宋体" w:eastAsia="思源宋体" w:hAnsi="思源宋体"/>
          <w:sz w:val="15"/>
          <w:szCs w:val="16"/>
        </w:rPr>
        <w:t>gI</w:t>
      </w:r>
      <w:proofErr w:type="spellEnd"/>
      <w:r w:rsidRPr="00A76B88">
        <w:rPr>
          <w:rFonts w:ascii="思源宋体" w:eastAsia="思源宋体" w:hAnsi="思源宋体"/>
          <w:sz w:val="15"/>
          <w:szCs w:val="16"/>
        </w:rPr>
        <w:t xml:space="preserve"> 抗体阻断 ELISA 的系统梯度分布与临床样本空间响应评估。 (上) 净吸光度分布与定性阈值。 纵坐标 </w:t>
      </w:r>
      <w:r w:rsidR="00C40C8B">
        <w:rPr>
          <w:rFonts w:ascii="思源宋体" w:eastAsia="思源宋体" w:hAnsi="思源宋体" w:hint="eastAsia"/>
          <w:sz w:val="15"/>
          <w:szCs w:val="16"/>
        </w:rPr>
        <w:t>Δ</w:t>
      </w:r>
      <w:r w:rsidRPr="00A76B88">
        <w:rPr>
          <w:rFonts w:ascii="思源宋体" w:eastAsia="思源宋体" w:hAnsi="思源宋体"/>
          <w:sz w:val="15"/>
          <w:szCs w:val="16"/>
        </w:rPr>
        <w:t>OD 表示经双波长物理除噪与系统本底校正后的净吸光度（算法：</w:t>
      </w:r>
      <m:oMath>
        <m:r>
          <w:rPr>
            <w:rFonts w:ascii="Cambria Math" w:eastAsia="思源宋体" w:hAnsi="Cambria Math"/>
            <w:sz w:val="15"/>
            <w:szCs w:val="16"/>
          </w:rPr>
          <m:t>O</m:t>
        </m:r>
        <m:sSub>
          <m:sSubPr>
            <m:ctrlPr>
              <w:rPr>
                <w:rFonts w:ascii="Cambria Math" w:eastAsia="思源宋体" w:hAnsi="Cambria Math"/>
                <w:i/>
                <w:sz w:val="15"/>
                <w:szCs w:val="16"/>
              </w:rPr>
            </m:ctrlPr>
          </m:sSubPr>
          <m:e>
            <m:r>
              <w:rPr>
                <w:rFonts w:ascii="Cambria Math" w:eastAsia="思源宋体" w:hAnsi="Cambria Math"/>
                <w:sz w:val="15"/>
                <w:szCs w:val="16"/>
              </w:rPr>
              <m:t>D</m:t>
            </m:r>
          </m:e>
          <m:sub>
            <m:r>
              <w:rPr>
                <w:rFonts w:ascii="Cambria Math" w:eastAsia="思源宋体" w:hAnsi="Cambria Math"/>
                <w:sz w:val="15"/>
                <w:szCs w:val="16"/>
              </w:rPr>
              <m:t>450</m:t>
            </m:r>
          </m:sub>
        </m:sSub>
        <m:r>
          <w:rPr>
            <w:rFonts w:ascii="Cambria Math" w:eastAsia="思源宋体" w:hAnsi="Cambria Math"/>
            <w:sz w:val="15"/>
            <w:szCs w:val="16"/>
          </w:rPr>
          <m:t>-O</m:t>
        </m:r>
        <m:sSub>
          <m:sSubPr>
            <m:ctrlPr>
              <w:rPr>
                <w:rFonts w:ascii="Cambria Math" w:eastAsia="思源宋体" w:hAnsi="Cambria Math"/>
                <w:i/>
                <w:sz w:val="15"/>
                <w:szCs w:val="16"/>
              </w:rPr>
            </m:ctrlPr>
          </m:sSubPr>
          <m:e>
            <m:r>
              <w:rPr>
                <w:rFonts w:ascii="Cambria Math" w:eastAsia="思源宋体" w:hAnsi="Cambria Math"/>
                <w:sz w:val="15"/>
                <w:szCs w:val="16"/>
              </w:rPr>
              <m:t>D</m:t>
            </m:r>
          </m:e>
          <m:sub>
            <m:r>
              <w:rPr>
                <w:rFonts w:ascii="Cambria Math" w:eastAsia="思源宋体" w:hAnsi="Cambria Math"/>
                <w:sz w:val="15"/>
                <w:szCs w:val="16"/>
              </w:rPr>
              <m:t>600</m:t>
            </m:r>
          </m:sub>
        </m:sSub>
        <m:r>
          <w:rPr>
            <w:rFonts w:ascii="Cambria Math" w:eastAsia="思源宋体" w:hAnsi="Cambria Math"/>
            <w:sz w:val="15"/>
            <w:szCs w:val="16"/>
          </w:rPr>
          <m:t>-O</m:t>
        </m:r>
        <m:sSub>
          <m:sSubPr>
            <m:ctrlPr>
              <w:rPr>
                <w:rFonts w:ascii="Cambria Math" w:eastAsia="思源宋体" w:hAnsi="Cambria Math"/>
                <w:i/>
                <w:sz w:val="15"/>
                <w:szCs w:val="16"/>
              </w:rPr>
            </m:ctrlPr>
          </m:sSubPr>
          <m:e>
            <m:r>
              <w:rPr>
                <w:rFonts w:ascii="Cambria Math" w:eastAsia="思源宋体" w:hAnsi="Cambria Math"/>
                <w:sz w:val="15"/>
                <w:szCs w:val="16"/>
              </w:rPr>
              <m:t>D</m:t>
            </m:r>
          </m:e>
          <m:sub>
            <m:r>
              <w:rPr>
                <w:rFonts w:ascii="Cambria Math" w:eastAsia="思源宋体" w:hAnsi="Cambria Math"/>
                <w:sz w:val="15"/>
                <w:szCs w:val="16"/>
              </w:rPr>
              <m:t>Blank</m:t>
            </m:r>
          </m:sub>
        </m:sSub>
      </m:oMath>
      <w:r w:rsidRPr="00A76B88">
        <w:rPr>
          <w:rFonts w:ascii="思源宋体" w:eastAsia="思源宋体" w:hAnsi="思源宋体"/>
          <w:sz w:val="15"/>
          <w:szCs w:val="16"/>
        </w:rPr>
        <w:t>，本底扣除唯一采纳未受污染的有效空白孔 H1）。彩色半透明散点代表各组内独立复孔的绝对物理测定值；黑色水平实线与垂直误差棒分别表示各组数据的均值（Mean）与标准差（SD）。红色水平虚线（Cut-off）指示了体系的定性临界线，即等效特异性阻断率（PI）达到 40%。 (下) 核心统计量对齐摘要表。 底部表格在X轴维度与上方散点执行严格的垂直物理锁定，提供对应组别的精确定量支持。其中，孔间变异系数（CV）直观量化了低浓度阳性组（Pos Low）因微孔板空间坐标差异导致的剧烈边缘效应（CV = 28.7%）。未知待检样本 G6 仅具单孔读数（N=1，缺乏 SD 与 CV 评估），其 PI 计算值为 31.2%。</w:t>
      </w:r>
    </w:p>
    <w:p w14:paraId="07BB16A1" w14:textId="7D70662A" w:rsidR="00CE25FA" w:rsidRPr="00A76B88" w:rsidRDefault="00CE25FA">
      <w:pPr>
        <w:widowControl/>
        <w:jc w:val="left"/>
      </w:pPr>
      <w:r>
        <w:br w:type="page"/>
      </w:r>
    </w:p>
    <w:p w14:paraId="5C0C617A" w14:textId="022C6232" w:rsidR="00CE25FA" w:rsidRDefault="000203FA" w:rsidP="000203FA">
      <w:pPr>
        <w:rPr>
          <w:rFonts w:ascii="黑体" w:eastAsia="黑体" w:hAnsi="黑体"/>
          <w:b/>
          <w:bCs/>
          <w:sz w:val="32"/>
          <w:szCs w:val="36"/>
        </w:rPr>
      </w:pPr>
      <w:r w:rsidRPr="000203FA">
        <w:rPr>
          <w:rFonts w:ascii="黑体" w:eastAsia="黑体" w:hAnsi="黑体" w:hint="eastAsia"/>
          <w:b/>
          <w:bCs/>
          <w:sz w:val="32"/>
          <w:szCs w:val="36"/>
        </w:rPr>
        <w:lastRenderedPageBreak/>
        <w:t>附件2</w:t>
      </w:r>
    </w:p>
    <w:p w14:paraId="6B0AC7A9" w14:textId="0A724038" w:rsidR="00517C8B" w:rsidRPr="00517C8B" w:rsidRDefault="00517C8B" w:rsidP="00517C8B">
      <w:pPr>
        <w:pStyle w:val="a3"/>
        <w:keepNext/>
        <w:jc w:val="center"/>
        <w:rPr>
          <w:rFonts w:ascii="Times New Roman" w:hAnsi="Times New Roman" w:cs="Times New Roman"/>
        </w:rPr>
      </w:pPr>
      <w:r w:rsidRPr="00517C8B">
        <w:rPr>
          <w:rFonts w:ascii="Times New Roman" w:hAnsi="Times New Roman" w:cs="Times New Roman"/>
        </w:rPr>
        <w:t xml:space="preserve">Table </w:t>
      </w:r>
      <w:r w:rsidRPr="00517C8B">
        <w:rPr>
          <w:rFonts w:ascii="Times New Roman" w:hAnsi="Times New Roman" w:cs="Times New Roman"/>
        </w:rPr>
        <w:fldChar w:fldCharType="begin"/>
      </w:r>
      <w:r w:rsidRPr="00517C8B">
        <w:rPr>
          <w:rFonts w:ascii="Times New Roman" w:hAnsi="Times New Roman" w:cs="Times New Roman"/>
        </w:rPr>
        <w:instrText xml:space="preserve"> SEQ Table \* ARABIC </w:instrText>
      </w:r>
      <w:r w:rsidRPr="00517C8B">
        <w:rPr>
          <w:rFonts w:ascii="Times New Roman" w:hAnsi="Times New Roman" w:cs="Times New Roman"/>
        </w:rPr>
        <w:fldChar w:fldCharType="separate"/>
      </w:r>
      <w:r w:rsidRPr="00517C8B">
        <w:rPr>
          <w:rFonts w:ascii="Times New Roman" w:hAnsi="Times New Roman" w:cs="Times New Roman"/>
          <w:noProof/>
        </w:rPr>
        <w:t>1</w:t>
      </w:r>
      <w:r w:rsidRPr="00517C8B">
        <w:rPr>
          <w:rFonts w:ascii="Times New Roman" w:hAnsi="Times New Roman" w:cs="Times New Roman"/>
        </w:rPr>
        <w:fldChar w:fldCharType="end"/>
      </w:r>
      <w:r w:rsidRPr="00517C8B">
        <w:rPr>
          <w:rFonts w:ascii="Times New Roman" w:hAnsi="Times New Roman" w:cs="Times New Roman"/>
        </w:rPr>
        <w:t xml:space="preserve"> </w:t>
      </w:r>
      <w:r w:rsidRPr="00517C8B">
        <w:rPr>
          <w:rFonts w:ascii="Times New Roman" w:hAnsi="Times New Roman" w:cs="Times New Roman"/>
        </w:rPr>
        <w:t>阻断</w:t>
      </w:r>
      <w:r w:rsidRPr="00517C8B">
        <w:rPr>
          <w:rFonts w:ascii="Times New Roman" w:hAnsi="Times New Roman" w:cs="Times New Roman"/>
        </w:rPr>
        <w:t>ELISA</w:t>
      </w:r>
      <w:r w:rsidRPr="00517C8B">
        <w:rPr>
          <w:rFonts w:ascii="Times New Roman" w:hAnsi="Times New Roman" w:cs="Times New Roman"/>
        </w:rPr>
        <w:t>检测体系双波长背景校正及特异性响应评估表</w:t>
      </w:r>
    </w:p>
    <w:tbl>
      <w:tblPr>
        <w:tblW w:w="782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1060"/>
        <w:gridCol w:w="940"/>
        <w:gridCol w:w="1320"/>
        <w:gridCol w:w="960"/>
        <w:gridCol w:w="960"/>
      </w:tblGrid>
      <w:tr w:rsidR="000203FA" w:rsidRPr="000203FA" w14:paraId="7F81E6A4" w14:textId="77777777" w:rsidTr="003B3B8C">
        <w:trPr>
          <w:trHeight w:val="276"/>
        </w:trPr>
        <w:tc>
          <w:tcPr>
            <w:tcW w:w="2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F23E1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Group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0601B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Well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3BED5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OD</w:t>
            </w: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  <w:vertAlign w:val="subscript"/>
              </w:rPr>
              <w:t>450</w:t>
            </w: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CAEBF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OD</w:t>
            </w: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  <w:vertAlign w:val="subscript"/>
              </w:rPr>
              <w:t>600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A628" w14:textId="71568B6C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Δ</w:t>
            </w: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OD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B456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PI (%)</w:t>
            </w:r>
          </w:p>
        </w:tc>
      </w:tr>
      <w:tr w:rsidR="000203FA" w:rsidRPr="000203FA" w14:paraId="1966F161" w14:textId="77777777" w:rsidTr="003B3B8C">
        <w:trPr>
          <w:trHeight w:val="276"/>
        </w:trPr>
        <w:tc>
          <w:tcPr>
            <w:tcW w:w="258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0F33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NC</w:t>
            </w:r>
          </w:p>
        </w:tc>
        <w:tc>
          <w:tcPr>
            <w:tcW w:w="106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5E77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A1</w:t>
            </w:r>
          </w:p>
        </w:tc>
        <w:tc>
          <w:tcPr>
            <w:tcW w:w="9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E05E4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1.542</w:t>
            </w:r>
          </w:p>
        </w:tc>
        <w:tc>
          <w:tcPr>
            <w:tcW w:w="132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4DC1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0.047</w:t>
            </w: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D07AB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1.469</w:t>
            </w: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C21B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6.00%</w:t>
            </w:r>
          </w:p>
        </w:tc>
      </w:tr>
      <w:tr w:rsidR="000203FA" w:rsidRPr="000203FA" w14:paraId="44E4F948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1D46E60A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NC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43F3D244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A2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7BD6633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1.72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6AA990D1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0.051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6259FB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1.643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C6DA1C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-5.20%</w:t>
            </w:r>
          </w:p>
        </w:tc>
      </w:tr>
      <w:tr w:rsidR="000203FA" w:rsidRPr="000203FA" w14:paraId="6F885344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1F3C27D5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NC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61D0E6B3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A3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262F5671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1.928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113F8B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0.046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639E2F1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1.856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5C41C8F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-18.80%</w:t>
            </w:r>
          </w:p>
        </w:tc>
      </w:tr>
      <w:tr w:rsidR="000203FA" w:rsidRPr="000203FA" w14:paraId="0890443E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5BEF562E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NC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07CA13EE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B1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6E6B568B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1.523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26E3FE7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0.048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3A611B2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1.449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50193CE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7.20%</w:t>
            </w:r>
          </w:p>
        </w:tc>
      </w:tr>
      <w:tr w:rsidR="000203FA" w:rsidRPr="000203FA" w14:paraId="28EACC13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2196C269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NC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2FACFF5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C1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ACCE4EF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1.466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775202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0.046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991DE83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1.394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C11FB8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10.80%</w:t>
            </w:r>
          </w:p>
        </w:tc>
      </w:tr>
      <w:tr w:rsidR="000203FA" w:rsidRPr="000203FA" w14:paraId="1E92B51C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52A3B591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PC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6D794C2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A4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616B2AC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0.289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67557141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3E6BDB4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0.22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6087C3B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85.90%</w:t>
            </w:r>
          </w:p>
        </w:tc>
      </w:tr>
      <w:tr w:rsidR="000203FA" w:rsidRPr="000203FA" w14:paraId="6442814F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7D3AA632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PC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4E06C0C0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A5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741D77DD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0.317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298C4BA1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63E1A29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0.247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77E52FD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84.20%</w:t>
            </w:r>
          </w:p>
        </w:tc>
      </w:tr>
      <w:tr w:rsidR="000203FA" w:rsidRPr="000203FA" w14:paraId="7F4056CF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6667A5E3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PC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153EEC6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D1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7BFBFEB0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0.257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D66A133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0.037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542CD5D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0.194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ECD263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87.60%</w:t>
            </w:r>
          </w:p>
        </w:tc>
      </w:tr>
      <w:tr w:rsidR="000203FA" w:rsidRPr="000203FA" w14:paraId="3486453F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624F37F0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Kit PC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1421CC0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E1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6F9CFA36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0.249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437E95E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0.048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000AFD0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0.175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565915B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88.80%</w:t>
            </w:r>
          </w:p>
        </w:tc>
      </w:tr>
      <w:tr w:rsidR="000203FA" w:rsidRPr="000203FA" w14:paraId="5E392434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1E1B5F06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Blank (Valid)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1B193A8E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H1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31E8171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0.075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2FCB1F2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0.049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E770BC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80BF81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N/A</w:t>
            </w:r>
          </w:p>
        </w:tc>
      </w:tr>
      <w:tr w:rsidR="000203FA" w:rsidRPr="000203FA" w14:paraId="6D8C6111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512ED248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Blank (Contaminated)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0C45E382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A6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7035B369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1.985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730C46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4EB3D46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1.915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F9A4D1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N/A</w:t>
            </w:r>
          </w:p>
        </w:tc>
      </w:tr>
      <w:tr w:rsidR="000203FA" w:rsidRPr="000203FA" w14:paraId="5E6015B7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3D74B0BA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Blank (Contaminated)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40ACAA9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A7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3B19F0BF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1.976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6D35B390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03695E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1.905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9215254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N/A</w:t>
            </w:r>
          </w:p>
        </w:tc>
      </w:tr>
      <w:tr w:rsidR="000203FA" w:rsidRPr="000203FA" w14:paraId="05F29042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272DE5F9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Blank (Contaminated)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26DC48C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F1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6BE14439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1.202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3C032C8D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0D10226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1.131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D4C5F5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N/A</w:t>
            </w:r>
          </w:p>
        </w:tc>
      </w:tr>
      <w:tr w:rsidR="000203FA" w:rsidRPr="000203FA" w14:paraId="42334E41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4594ECEC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Blank (Contaminated)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7D51F55E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G1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C3F1CF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1.016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2C473FD2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0.051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4681A14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0.939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8BD535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N/A</w:t>
            </w:r>
          </w:p>
        </w:tc>
      </w:tr>
      <w:tr w:rsidR="000203FA" w:rsidRPr="000203FA" w14:paraId="5DC3862A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454DF40C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Positive H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5A98416E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B3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E13075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0.18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B0D10B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F46DEE0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0.112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CE0F929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92.80%</w:t>
            </w:r>
          </w:p>
        </w:tc>
      </w:tr>
      <w:tr w:rsidR="000203FA" w:rsidRPr="000203FA" w14:paraId="71D49B10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30FEE53B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Positive H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DACD87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H12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2AF8DA0B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0.278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27D1B429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0.046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2F94C6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0.206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0F4FE83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86.80%</w:t>
            </w:r>
          </w:p>
        </w:tc>
      </w:tr>
      <w:tr w:rsidR="000203FA" w:rsidRPr="000203FA" w14:paraId="1E87AA9E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044DACDA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Positive M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2ECDA5F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B4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3824AA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0.409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877925B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E36A027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0.338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0AAABA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78.40%</w:t>
            </w:r>
          </w:p>
        </w:tc>
      </w:tr>
      <w:tr w:rsidR="000203FA" w:rsidRPr="000203FA" w14:paraId="3190EF32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55A9226C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Positive M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549A7DD2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H11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5D9D36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0.39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09008C2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0ACDB5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0.319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2682CF1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79.60%</w:t>
            </w:r>
          </w:p>
        </w:tc>
      </w:tr>
      <w:tr w:rsidR="000203FA" w:rsidRPr="000203FA" w14:paraId="7087ECA7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20351C3F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Positive L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0895083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B5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EE29133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0.977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4E922AC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0.054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EE415D3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0.897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F260482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42.60%</w:t>
            </w:r>
          </w:p>
        </w:tc>
      </w:tr>
      <w:tr w:rsidR="000203FA" w:rsidRPr="000203FA" w14:paraId="4245887D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298EC592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Positive L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653E321A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H10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E14F4E7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0.664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2503F326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393B93F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0.593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5366174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62.00%</w:t>
            </w:r>
          </w:p>
        </w:tc>
      </w:tr>
      <w:tr w:rsidR="000203FA" w:rsidRPr="000203FA" w14:paraId="118371D2" w14:textId="77777777" w:rsidTr="003B3B8C">
        <w:trPr>
          <w:trHeight w:val="276"/>
        </w:trPr>
        <w:tc>
          <w:tcPr>
            <w:tcW w:w="2580" w:type="dxa"/>
            <w:shd w:val="clear" w:color="auto" w:fill="auto"/>
            <w:noWrap/>
            <w:vAlign w:val="center"/>
            <w:hideMark/>
          </w:tcPr>
          <w:p w14:paraId="00920C3D" w14:textId="77777777" w:rsidR="000203FA" w:rsidRPr="000203FA" w:rsidRDefault="000203FA" w:rsidP="000203FA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Sample G6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7DEC380E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G6</w:t>
            </w:r>
          </w:p>
        </w:tc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6A2F5E41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1.148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363FE205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0.047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BCE9DB3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1.075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084CB98" w14:textId="77777777" w:rsidR="000203FA" w:rsidRPr="000203FA" w:rsidRDefault="000203FA" w:rsidP="002579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0203FA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31.20%</w:t>
            </w:r>
          </w:p>
        </w:tc>
      </w:tr>
    </w:tbl>
    <w:p w14:paraId="7BBFB7DB" w14:textId="77777777" w:rsidR="000203FA" w:rsidRPr="000203FA" w:rsidRDefault="000203FA" w:rsidP="000203FA">
      <w:pPr>
        <w:rPr>
          <w:rFonts w:ascii="黑体" w:eastAsia="黑体" w:hAnsi="黑体"/>
          <w:b/>
          <w:bCs/>
          <w:sz w:val="32"/>
          <w:szCs w:val="36"/>
        </w:rPr>
      </w:pPr>
    </w:p>
    <w:sectPr w:rsidR="000203FA" w:rsidRPr="000203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62"/>
    <w:rsid w:val="000203FA"/>
    <w:rsid w:val="0025791F"/>
    <w:rsid w:val="003B3B8C"/>
    <w:rsid w:val="00517C8B"/>
    <w:rsid w:val="00607D39"/>
    <w:rsid w:val="00712C62"/>
    <w:rsid w:val="009F3B98"/>
    <w:rsid w:val="00A76B88"/>
    <w:rsid w:val="00C40C8B"/>
    <w:rsid w:val="00C661CA"/>
    <w:rsid w:val="00CE25FA"/>
    <w:rsid w:val="00DB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BD88"/>
  <w15:chartTrackingRefBased/>
  <w15:docId w15:val="{CBFA5E51-BD54-488B-92A6-2684EF78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17C8B"/>
    <w:rPr>
      <w:rFonts w:asciiTheme="majorHAnsi" w:eastAsia="黑体" w:hAnsiTheme="majorHAnsi" w:cstheme="majorBidi"/>
      <w:sz w:val="20"/>
      <w:szCs w:val="20"/>
    </w:rPr>
  </w:style>
  <w:style w:type="character" w:customStyle="1" w:styleId="math-inline">
    <w:name w:val="math-inline"/>
    <w:basedOn w:val="a0"/>
    <w:rsid w:val="00A76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2E988-09CC-47AC-AA18-00C2C433C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启蒙 吕</dc:creator>
  <cp:keywords/>
  <dc:description/>
  <cp:lastModifiedBy>启蒙 吕</cp:lastModifiedBy>
  <cp:revision>15</cp:revision>
  <dcterms:created xsi:type="dcterms:W3CDTF">2026-06-03T03:24:00Z</dcterms:created>
  <dcterms:modified xsi:type="dcterms:W3CDTF">2026-06-03T03:43:00Z</dcterms:modified>
</cp:coreProperties>
</file>