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48C54" w14:textId="33D65546" w:rsidR="001F7246" w:rsidRDefault="001F7246" w:rsidP="001F7246">
      <w:r>
        <w:t>从行政特批到风险治理：非洲猪瘟保种危机中的动物卫生法制反思</w:t>
      </w:r>
    </w:p>
    <w:p w14:paraId="40923280" w14:textId="77777777" w:rsidR="001F7246" w:rsidRDefault="001F7246" w:rsidP="001F7246">
      <w:pPr>
        <w:rPr>
          <w:rFonts w:hint="eastAsia"/>
        </w:rPr>
      </w:pPr>
    </w:p>
    <w:p w14:paraId="1AE84BFC" w14:textId="07C6F1C4" w:rsidR="001F7246" w:rsidRDefault="001F7246" w:rsidP="001F7246">
      <w:r>
        <w:t xml:space="preserve"> 1. 背景介绍：非洲猪瘟初期的保种危机与“特批式”应对</w:t>
      </w:r>
    </w:p>
    <w:p w14:paraId="64C99AE9" w14:textId="78E119CD" w:rsidR="001F7246" w:rsidRDefault="001F7246" w:rsidP="001F7246">
      <w:pPr>
        <w:pStyle w:val="a3"/>
      </w:pPr>
      <w:r>
        <w:t>2018年至2019年，非洲猪瘟（ASFV）首次传入我国并呈全国性蔓延态势。</w:t>
      </w:r>
      <w:r w:rsidR="003F6F06">
        <w:rPr>
          <w:rFonts w:hint="eastAsia"/>
        </w:rPr>
        <w:t>面对疫情防范挑战</w:t>
      </w:r>
      <w:r>
        <w:t>，依据《重大动物疫情应急条例》及当时的应急实施方案，疫点周边3公里范围被划定为受威胁区，区域内的易感动物面临着极易被触发的无差别预防性扑杀或极其严苛的禁运封锁。</w:t>
      </w:r>
    </w:p>
    <w:p w14:paraId="2548BD74" w14:textId="6EA7C774" w:rsidR="001F7246" w:rsidRDefault="001F7246" w:rsidP="001F7246">
      <w:pPr>
        <w:pStyle w:val="a3"/>
      </w:pPr>
      <w:r>
        <w:rPr>
          <w:rFonts w:hint="eastAsia"/>
        </w:rPr>
        <w:t>在这雷霆万钧般的扑杀势头下</w:t>
      </w:r>
      <w:r>
        <w:t>，我国多个拥有核心畜禽遗传资源的“国家级地方猪保种场”相继陷入受威胁区。例如，湖南沙子岭猪、宁乡花猪以及浙江金华两头乌等不可再生的国家级畜禽遗传资源，直面物种灭绝的现实威胁。</w:t>
      </w:r>
    </w:p>
    <w:p w14:paraId="77973A9B" w14:textId="738048F5" w:rsidR="003F6F06" w:rsidRDefault="003F6F06" w:rsidP="003F6F06">
      <w:pPr>
        <w:pStyle w:val="a3"/>
      </w:pPr>
      <w:r>
        <w:t>面对这一困境，为</w:t>
      </w:r>
      <w:r>
        <w:rPr>
          <w:rFonts w:hint="eastAsia"/>
        </w:rPr>
        <w:t>保护</w:t>
      </w:r>
      <w:r>
        <w:t>核心种质</w:t>
      </w:r>
      <w:r>
        <w:rPr>
          <w:rFonts w:hint="eastAsia"/>
        </w:rPr>
        <w:t>资源</w:t>
      </w:r>
      <w:r>
        <w:t>，各地政府与行政主管部门在基层实践中被迫采取了高成本的抢救性保护举措。首先是人工构建物理隔离缓冲带。以湖南沙子岭猪为例，地方政府紧急整合2000万元专项资金，运用行政手段强制清退了核心保种场周边3公里范围内的散养户。这一举措以极高的财政与行政成本，强行在疫区内人工切出了一条生物安全隔离带。其次是极限封闭与抢救性遗传备份。针对浙江金华两头乌等品种，保种团队不仅实施了切断一切内外接触的极端全封闭管理，相关科研团队更是在疫情高压下紧急介入，对核心种群实施活体异地备份，并抢救性地提取精液、体细胞跨区域送往省级基因库进行冷冻保存。</w:t>
      </w:r>
    </w:p>
    <w:p w14:paraId="7FB032A8" w14:textId="77777777" w:rsidR="003F6F06" w:rsidRDefault="003F6F06" w:rsidP="003F6F06">
      <w:pPr>
        <w:pStyle w:val="a3"/>
      </w:pPr>
      <w:r>
        <w:t>这种基层的抢救性实践，随后迅速得到了国家部委的政策确认与制度规范。2018年12月24日，农业农村部办公厅作为首份应急指导文件，正式印发了《关于加强地方猪遗传资源保护工作的通知》（农办种〔2018〕12号）。该通知明确要求对保种场周边3公里范围内养猪场进行全面排查以净化周边环境，规定保种场所在县域发生疫情时实施封场管理，并明确支持加快采集地方猪遗传材料。2019年6月17日，《国家级地方猪遗传材料采集保存工作实施方案》（农种畜函〔2019〕14号）下发，将保护范围覆盖至61个国家级保种场及保护区，并精确规定了每品种冷冻精液与体细胞系的采集底线任务。2019年8月7日，农业农村部正式发布《对十三届全国人大二次会议第8080号建议的答复》（农办议〔2019〕273号），系统回应了防范疫情期间遗传资源丢失风险的各项建议，再次确认了保种场周边3公里红线排查的执行要求，并通报了启用现代遗传材料保护手段及建设备份保种场等政策的落地成果。这一系列国家级公文的密集下发，事实上确立了健康核心种畜群免于预防性扑杀的豁免命运，但也彻底将我国动物卫生法律体系在极端突发公共卫生事件中，必须依赖“临时性通知”来填补“法定技术标准缺失”的结构性痛点暴露无遗。</w:t>
      </w:r>
    </w:p>
    <w:p w14:paraId="52716C1A" w14:textId="77777777" w:rsidR="001F7246" w:rsidRPr="003F6F06" w:rsidRDefault="001F7246" w:rsidP="001F7246"/>
    <w:p w14:paraId="644CF92F" w14:textId="0449B038" w:rsidR="001F7246" w:rsidRDefault="001F7246" w:rsidP="001F7246">
      <w:r>
        <w:t xml:space="preserve"> 2. 从动物卫生法制角度的相应评价</w:t>
      </w:r>
    </w:p>
    <w:p w14:paraId="780074CF" w14:textId="1D062F37" w:rsidR="001F7246" w:rsidRDefault="001F7246" w:rsidP="001F7246">
      <w:r>
        <w:t xml:space="preserve">   法益冲突取代条文冲突： 严格意义上，《动物防疫法》与《畜牧法》不存在直接的条文冲突，其本质是在极端疫病压力下，“公共卫生安全”与“国家种业战略安全”两大法益发生的剧烈顺位碰撞。</w:t>
      </w:r>
    </w:p>
    <w:p w14:paraId="448E2940" w14:textId="54675158" w:rsidR="001F7246" w:rsidRDefault="001F7246" w:rsidP="001F7246">
      <w:r>
        <w:t xml:space="preserve">   定性评价： 危机时刻实施的“特批保种”，是一次行政紧急避险与纠偏。它标志着我国动</w:t>
      </w:r>
      <w:r>
        <w:lastRenderedPageBreak/>
        <w:t>物防疫制度在实操层面开始由机械的“地理位置绝对消除法（Stamping-out）”被迫向“依赖高级别生物安全（Biosecurity）屏障构建动态边界”的精细化治理演进。</w:t>
      </w:r>
    </w:p>
    <w:p w14:paraId="1CD1666D" w14:textId="77777777" w:rsidR="001F7246" w:rsidRDefault="001F7246" w:rsidP="001F7246"/>
    <w:p w14:paraId="285325D6" w14:textId="29F37EFA" w:rsidR="001F7246" w:rsidRDefault="001F7246" w:rsidP="001F7246">
      <w:r>
        <w:t xml:space="preserve"> 3. “对还是错”的法理判定：基于法益权衡与比例原则的考察</w:t>
      </w:r>
    </w:p>
    <w:p w14:paraId="18DF4C1A" w14:textId="78D38FF2" w:rsidR="001F7246" w:rsidRDefault="001F7246" w:rsidP="001F7246">
      <w:r>
        <w:t xml:space="preserve">   法益权衡下的行政裁量： 摒弃“绝对正确”的预设。该行为的本质并非拥有绝对合法的免扑杀授权（在紧急状态下《动物防疫法》效力优先），而是行政机关在面临物种不可逆灭绝时，于两大法益冲突的灰色地带行使的紧急行政裁量。</w:t>
      </w:r>
    </w:p>
    <w:p w14:paraId="49772E41" w14:textId="7B7183C5" w:rsidR="001F7246" w:rsidRDefault="001F7246" w:rsidP="001F7246">
      <w:r>
        <w:t xml:space="preserve">   符合比例原则的三阶检验： </w:t>
      </w:r>
    </w:p>
    <w:p w14:paraId="7C363EEA" w14:textId="17C03DD6" w:rsidR="001F7246" w:rsidRDefault="001F7246" w:rsidP="001F7246">
      <w:r>
        <w:t xml:space="preserve">       妥当性： 人工清退与极限封闭能客观阻断病毒，实现防疫目的。</w:t>
      </w:r>
    </w:p>
    <w:p w14:paraId="481885E7" w14:textId="60EE5F1F" w:rsidR="001F7246" w:rsidRDefault="001F7246" w:rsidP="001F7246">
      <w:r>
        <w:t xml:space="preserve">       必要性： 相比一刀切扑杀，封闭隔离加核酸监测是对种质资源法益损害最小的干预方式。</w:t>
      </w:r>
    </w:p>
    <w:p w14:paraId="6FD5C229" w14:textId="509154C6" w:rsidR="001F7246" w:rsidRDefault="001F7246" w:rsidP="001F7246">
      <w:r>
        <w:t xml:space="preserve">       均衡性： 保全不可再生的国家基因库，其长远战略利益大于短期增加的防疫管理成本。</w:t>
      </w:r>
    </w:p>
    <w:p w14:paraId="76869787" w14:textId="61189AA1" w:rsidR="001F7246" w:rsidRDefault="001F7246" w:rsidP="001F7246">
      <w:r>
        <w:t xml:space="preserve">   风险评估前置： 虽符合比例原则，但因缺乏法定验证机制，强行保留疫区宿主客观放大了溢出风险，亟需由“特批”向“基于风险评估的条件性豁免”转型。</w:t>
      </w:r>
    </w:p>
    <w:p w14:paraId="247000F8" w14:textId="77777777" w:rsidR="001F7246" w:rsidRDefault="001F7246" w:rsidP="001F7246"/>
    <w:p w14:paraId="77E1E55C" w14:textId="28EEB52C" w:rsidR="001F7246" w:rsidRDefault="001F7246" w:rsidP="001F7246">
      <w:r>
        <w:t xml:space="preserve"> 4. 从动物卫生法制角度解析原因：合法豁免缘何难以落地</w:t>
      </w:r>
    </w:p>
    <w:p w14:paraId="3028EE43" w14:textId="77777777" w:rsidR="001F7246" w:rsidRDefault="001F7246" w:rsidP="001F7246">
      <w:r>
        <w:rPr>
          <w:rFonts w:hint="eastAsia"/>
        </w:rPr>
        <w:t>核心痛点并非简单的“两法衔接不畅”，而是缺乏一套从“顶层授权”到“基层执行”的完整传导机制，具体表现为三个层面的断层：</w:t>
      </w:r>
    </w:p>
    <w:p w14:paraId="2D495349" w14:textId="6D85EB1D" w:rsidR="001F7246" w:rsidRDefault="001F7246" w:rsidP="001F7246">
      <w:r>
        <w:t xml:space="preserve">   技术标准缺失（有法可依，无章可循）： 重大动物疫情应急预案体系中，缺失配套的“高等级生物安全养殖设施标准”和“特许检疫规范”，使得豁免在实操中形同走钢丝。</w:t>
      </w:r>
    </w:p>
    <w:p w14:paraId="710CF447" w14:textId="30660035" w:rsidR="001F7246" w:rsidRDefault="001F7246" w:rsidP="001F7246">
      <w:r>
        <w:t xml:space="preserve">   行政激励扭曲（避责逻辑）： 在基层，“依法扑灭”是安全的免责牌，而“特批保种”一旦散毒则面临渎职问责。不对等的问责压力导致基层倾向“宁可错杀、不可漏杀”。</w:t>
      </w:r>
    </w:p>
    <w:p w14:paraId="1904430D" w14:textId="0B6211D4" w:rsidR="001F7246" w:rsidRDefault="001F7246" w:rsidP="001F7246">
      <w:r>
        <w:t xml:space="preserve">   风险承担主体缺位： 若豁免期内成为新疫源地，连带责任及经济损失由谁（保种场、审批政府或专家）承担？现行法律未能厘清，导致决策阻力极大。</w:t>
      </w:r>
    </w:p>
    <w:p w14:paraId="538D1BEB" w14:textId="77777777" w:rsidR="001F7246" w:rsidRDefault="001F7246" w:rsidP="001F7246"/>
    <w:p w14:paraId="6774EA2C" w14:textId="3E3D9841" w:rsidR="001F7246" w:rsidRDefault="001F7246" w:rsidP="001F7246">
      <w:r>
        <w:t xml:space="preserve"> 5. 从动物卫生法制角度给出解决方案</w:t>
      </w:r>
    </w:p>
    <w:p w14:paraId="0B489818" w14:textId="3EAD34FE" w:rsidR="001F7246" w:rsidRDefault="001F7246" w:rsidP="001F7246">
      <w:r>
        <w:t xml:space="preserve">   国内经验提炼： 将被动经验升华为法定的“隔离缓冲 + 遗传备份”双轨机制。</w:t>
      </w:r>
    </w:p>
    <w:p w14:paraId="7AFF78BA" w14:textId="7BF388E7" w:rsidR="001F7246" w:rsidRDefault="001F7246" w:rsidP="001F7246">
      <w:r>
        <w:t xml:space="preserve">   他山之石： 借鉴欧盟针对高生物安全级别农场的风险评估豁免程序，以及美国（USDA）遗传资源强制备份与非常态跨州特许流转指南。</w:t>
      </w:r>
    </w:p>
    <w:p w14:paraId="35C777A0" w14:textId="29AD941B" w:rsidR="001F7246" w:rsidRDefault="001F7246" w:rsidP="001F7246">
      <w:r>
        <w:t xml:space="preserve">   制度桥梁设计：</w:t>
      </w:r>
    </w:p>
    <w:p w14:paraId="4044F8EF" w14:textId="0CA0EC63" w:rsidR="001F7246" w:rsidRDefault="001F7246" w:rsidP="001F7246">
      <w:r>
        <w:t xml:space="preserve">       技术指标重构： 在修法中明确将“达到国家规定的高等级生物安全养殖设施标准（如具备空气过滤与正压通风系统）”作为启动特许豁免的物理前置条件（弃用实验室BSL-3概念）。</w:t>
      </w:r>
    </w:p>
    <w:p w14:paraId="310ED16D" w14:textId="284825B1" w:rsidR="001F7246" w:rsidRDefault="001F7246" w:rsidP="001F7246">
      <w:r>
        <w:t xml:space="preserve">       设立风险评估委员会制度： 由独立专家组审核申请并出具量化风险报告。</w:t>
      </w:r>
    </w:p>
    <w:p w14:paraId="20850BF4" w14:textId="2DC957B2" w:rsidR="001F7246" w:rsidRDefault="001F7246" w:rsidP="001F7246">
      <w:r>
        <w:t xml:space="preserve">       建立责任豁免机制： 对依法按技术标准实施豁免的基层执法人员实行尽职免责。</w:t>
      </w:r>
    </w:p>
    <w:p w14:paraId="2B2862D0" w14:textId="77777777" w:rsidR="001F7246" w:rsidRDefault="001F7246" w:rsidP="001F7246"/>
    <w:p w14:paraId="476390DE" w14:textId="0DDE14F8" w:rsidR="001F7246" w:rsidRDefault="001F7246" w:rsidP="001F7246">
      <w:r>
        <w:t xml:space="preserve"> 6. 讨论挑战、启示和展望</w:t>
      </w:r>
    </w:p>
    <w:p w14:paraId="51B95D2E" w14:textId="1948622A" w:rsidR="001F7246" w:rsidRDefault="001F7246" w:rsidP="001F7246">
      <w:r>
        <w:t xml:space="preserve">   现实挑战的逻辑闭环： 异地遗传备份虽是必要手段，但在高载量病原区提取遗传物质极易引发次生散毒。必须将此类抢救严格限定在“严苛病原学定点监测与特许检疫程序”内。同时需建立严密的审核机制，防止商业资本“伪保种、真逃避”的寻租风险。</w:t>
      </w:r>
    </w:p>
    <w:p w14:paraId="0AE45F3B" w14:textId="0473A86C" w:rsidR="000242DF" w:rsidRDefault="001F7246" w:rsidP="001F7246">
      <w:r>
        <w:t xml:space="preserve">   启示与展望： 全文核心结论——我国现行动物卫生法律体系并不存在根本的法理冲突，真正缺失的是将“遗传资源保护例外”转化为可执行、可问责、可验证技术程序的制度桥梁。未来的修法必须走向跨学科融合，将兽医流行病学模型与环境控制工程参数直接写入法条。</w:t>
      </w:r>
    </w:p>
    <w:sectPr w:rsidR="000242D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DF8"/>
    <w:rsid w:val="000242DF"/>
    <w:rsid w:val="001F7246"/>
    <w:rsid w:val="00252DF8"/>
    <w:rsid w:val="003F6F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727DE"/>
  <w15:chartTrackingRefBased/>
  <w15:docId w15:val="{D97AB5C7-C476-4B69-A5E9-9D883955A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1F7246"/>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5853875">
      <w:bodyDiv w:val="1"/>
      <w:marLeft w:val="0"/>
      <w:marRight w:val="0"/>
      <w:marTop w:val="0"/>
      <w:marBottom w:val="0"/>
      <w:divBdr>
        <w:top w:val="none" w:sz="0" w:space="0" w:color="auto"/>
        <w:left w:val="none" w:sz="0" w:space="0" w:color="auto"/>
        <w:bottom w:val="none" w:sz="0" w:space="0" w:color="auto"/>
        <w:right w:val="none" w:sz="0" w:space="0" w:color="auto"/>
      </w:divBdr>
    </w:div>
    <w:div w:id="1944604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2</Pages>
  <Words>386</Words>
  <Characters>2204</Characters>
  <Application>Microsoft Office Word</Application>
  <DocSecurity>0</DocSecurity>
  <Lines>18</Lines>
  <Paragraphs>5</Paragraphs>
  <ScaleCrop>false</ScaleCrop>
  <Company/>
  <LinksUpToDate>false</LinksUpToDate>
  <CharactersWithSpaces>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启蒙 吕</dc:creator>
  <cp:keywords/>
  <dc:description/>
  <cp:lastModifiedBy>启蒙 吕</cp:lastModifiedBy>
  <cp:revision>2</cp:revision>
  <dcterms:created xsi:type="dcterms:W3CDTF">2026-06-15T10:40:00Z</dcterms:created>
  <dcterms:modified xsi:type="dcterms:W3CDTF">2026-06-15T11:46:00Z</dcterms:modified>
</cp:coreProperties>
</file>