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2A6802" w14:textId="3B306759" w:rsidR="006C7ADB" w:rsidRDefault="006C7ADB" w:rsidP="001F7246">
      <w:r>
        <w:rPr>
          <w:rFonts w:hint="eastAsia"/>
        </w:rPr>
        <w:t>背景介绍</w:t>
      </w:r>
    </w:p>
    <w:p w14:paraId="2E79D2EE" w14:textId="09D5A91F" w:rsidR="006842BA" w:rsidRPr="006842BA" w:rsidRDefault="006842BA" w:rsidP="006842BA">
      <w:pPr>
        <w:widowControl/>
        <w:spacing w:before="100" w:beforeAutospacing="1" w:after="100" w:afterAutospacing="1"/>
        <w:jc w:val="left"/>
        <w:rPr>
          <w:rFonts w:ascii="宋体" w:eastAsia="宋体" w:hAnsi="宋体" w:cs="宋体"/>
          <w:kern w:val="0"/>
          <w:sz w:val="24"/>
          <w:szCs w:val="24"/>
        </w:rPr>
      </w:pPr>
      <w:r w:rsidRPr="006842BA">
        <w:rPr>
          <w:rFonts w:ascii="宋体" w:eastAsia="宋体" w:hAnsi="宋体" w:cs="宋体"/>
          <w:kern w:val="0"/>
          <w:sz w:val="24"/>
          <w:szCs w:val="24"/>
        </w:rPr>
        <w:t>近年来，</w:t>
      </w:r>
      <w:r>
        <w:rPr>
          <w:rFonts w:ascii="宋体" w:eastAsia="宋体" w:hAnsi="宋体" w:cs="宋体" w:hint="eastAsia"/>
          <w:kern w:val="0"/>
          <w:sz w:val="24"/>
          <w:szCs w:val="24"/>
        </w:rPr>
        <w:t>通过网络进行宠物交易的模式迅猛</w:t>
      </w:r>
      <w:r w:rsidRPr="006842BA">
        <w:rPr>
          <w:rFonts w:ascii="宋体" w:eastAsia="宋体" w:hAnsi="宋体" w:cs="宋体"/>
          <w:kern w:val="0"/>
          <w:sz w:val="24"/>
          <w:szCs w:val="24"/>
        </w:rPr>
        <w:t>发展，淘宝、</w:t>
      </w:r>
      <w:r w:rsidR="004B13A2">
        <w:rPr>
          <w:rFonts w:ascii="宋体" w:eastAsia="宋体" w:hAnsi="宋体" w:cs="宋体" w:hint="eastAsia"/>
          <w:kern w:val="0"/>
          <w:sz w:val="24"/>
          <w:szCs w:val="24"/>
        </w:rPr>
        <w:t>闲鱼</w:t>
      </w:r>
      <w:r w:rsidRPr="006842BA">
        <w:rPr>
          <w:rFonts w:ascii="宋体" w:eastAsia="宋体" w:hAnsi="宋体" w:cs="宋体"/>
          <w:kern w:val="0"/>
          <w:sz w:val="24"/>
          <w:szCs w:val="24"/>
        </w:rPr>
        <w:t>等平台已成为活体宠物交易的重要渠道。在市场规模持续扩大的同时，大量消费者反映收到“星期宠”、宠物运输途中死亡、商家无法提供检疫证明等情况。这种脱离常规监管的活体寄递行为，不仅存在于伴侣动物市场，更向野生动物领域蔓延，呈现出普遍化与产业化特征。</w:t>
      </w:r>
    </w:p>
    <w:p w14:paraId="129DD0C7" w14:textId="7D45D513" w:rsidR="006842BA" w:rsidRPr="006842BA" w:rsidRDefault="006842BA" w:rsidP="006842BA">
      <w:pPr>
        <w:widowControl/>
        <w:spacing w:before="100" w:beforeAutospacing="1" w:after="100" w:afterAutospacing="1"/>
        <w:jc w:val="left"/>
        <w:rPr>
          <w:rFonts w:ascii="宋体" w:eastAsia="宋体" w:hAnsi="宋体" w:cs="宋体"/>
          <w:kern w:val="0"/>
          <w:sz w:val="24"/>
          <w:szCs w:val="24"/>
        </w:rPr>
      </w:pPr>
      <w:r w:rsidRPr="006842BA">
        <w:rPr>
          <w:rFonts w:ascii="宋体" w:eastAsia="宋体" w:hAnsi="宋体" w:cs="宋体"/>
          <w:kern w:val="0"/>
          <w:sz w:val="24"/>
          <w:szCs w:val="24"/>
        </w:rPr>
        <w:t>国内媒体对全国重要宠物繁育基地江苏徐州的专项调查揭示，每日有数百件活体猫狗通过普通快递网络流向全国。托运中介公然宣称“无需检疫证明”，致使活体动物与普通货物混装运输，频繁发生致死事件。此外，2026年6月，辽宁省葫芦岛市公安机关破获一起案件，嫌疑人利用曾经作为快递员的便利，假借普通货物名义违规邮寄228只国家“三有”保护鸟类。</w:t>
      </w:r>
      <w:r w:rsidR="00A4131C">
        <w:rPr>
          <w:rFonts w:ascii="宋体" w:eastAsia="宋体" w:hAnsi="宋体" w:cs="宋体" w:hint="eastAsia"/>
          <w:kern w:val="0"/>
          <w:sz w:val="24"/>
          <w:szCs w:val="24"/>
        </w:rPr>
        <w:t>这两个事件</w:t>
      </w:r>
      <w:r w:rsidRPr="006842BA">
        <w:rPr>
          <w:rFonts w:ascii="宋体" w:eastAsia="宋体" w:hAnsi="宋体" w:cs="宋体"/>
          <w:kern w:val="0"/>
          <w:sz w:val="24"/>
          <w:szCs w:val="24"/>
        </w:rPr>
        <w:t>相互印证，</w:t>
      </w:r>
      <w:r w:rsidR="00712745">
        <w:rPr>
          <w:rFonts w:ascii="宋体" w:eastAsia="宋体" w:hAnsi="宋体" w:cs="宋体" w:hint="eastAsia"/>
          <w:kern w:val="0"/>
          <w:sz w:val="24"/>
          <w:szCs w:val="24"/>
        </w:rPr>
        <w:t>暴露出</w:t>
      </w:r>
      <w:r w:rsidRPr="006842BA">
        <w:rPr>
          <w:rFonts w:ascii="宋体" w:eastAsia="宋体" w:hAnsi="宋体" w:cs="宋体"/>
          <w:kern w:val="0"/>
          <w:sz w:val="24"/>
          <w:szCs w:val="24"/>
        </w:rPr>
        <w:t>活体动物网络交易背后一条成熟的、</w:t>
      </w:r>
      <w:r w:rsidR="00CC7D87">
        <w:rPr>
          <w:rFonts w:ascii="宋体" w:eastAsia="宋体" w:hAnsi="宋体" w:cs="宋体" w:hint="eastAsia"/>
          <w:kern w:val="0"/>
          <w:sz w:val="24"/>
          <w:szCs w:val="24"/>
        </w:rPr>
        <w:t>逃离</w:t>
      </w:r>
      <w:r w:rsidRPr="006842BA">
        <w:rPr>
          <w:rFonts w:ascii="宋体" w:eastAsia="宋体" w:hAnsi="宋体" w:cs="宋体"/>
          <w:kern w:val="0"/>
          <w:sz w:val="24"/>
          <w:szCs w:val="24"/>
        </w:rPr>
        <w:t>监管的“地下”流通网络。</w:t>
      </w:r>
    </w:p>
    <w:p w14:paraId="3F08AAF4" w14:textId="74B8ECA2" w:rsidR="00C90ACC" w:rsidRDefault="00C90ACC" w:rsidP="00F02F79">
      <w:r>
        <w:rPr>
          <w:rFonts w:hint="eastAsia"/>
        </w:rPr>
        <w:t>法规角度评价</w:t>
      </w:r>
    </w:p>
    <w:p w14:paraId="0A00C34E" w14:textId="52700CAF" w:rsidR="00163B9D" w:rsidRDefault="0012046F" w:rsidP="00163B9D">
      <w:pPr>
        <w:pStyle w:val="a3"/>
      </w:pPr>
      <w:r>
        <w:t>网络宠物交易作为依托数字经济开展的新型商业模式，其本身受到《民法典》及《电子商务法》对市场主体“私权自治”与“贸易自由”的保护。然而，活体动物</w:t>
      </w:r>
      <w:r w:rsidR="002C03AA">
        <w:rPr>
          <w:rFonts w:hint="eastAsia"/>
        </w:rPr>
        <w:t>是</w:t>
      </w:r>
      <w:r>
        <w:t>兼具财产属性</w:t>
      </w:r>
      <w:r w:rsidR="002C03AA">
        <w:rPr>
          <w:rFonts w:hint="eastAsia"/>
        </w:rPr>
        <w:t>与病原传播载体</w:t>
      </w:r>
      <w:r>
        <w:t>双重特征</w:t>
      </w:r>
      <w:r w:rsidR="002C03AA">
        <w:rPr>
          <w:rFonts w:hint="eastAsia"/>
        </w:rPr>
        <w:t>的特殊商品</w:t>
      </w:r>
      <w:r>
        <w:t>。因此，活体宠物的网络交易必须</w:t>
      </w:r>
      <w:r w:rsidR="002C03AA">
        <w:rPr>
          <w:rFonts w:hint="eastAsia"/>
        </w:rPr>
        <w:t>在</w:t>
      </w:r>
      <w:r>
        <w:t>动物卫生</w:t>
      </w:r>
      <w:r w:rsidR="002C03AA">
        <w:rPr>
          <w:rFonts w:hint="eastAsia"/>
        </w:rPr>
        <w:t>法规</w:t>
      </w:r>
      <w:r>
        <w:t>的约束</w:t>
      </w:r>
      <w:r w:rsidR="002C03AA">
        <w:rPr>
          <w:rFonts w:hint="eastAsia"/>
        </w:rPr>
        <w:t>下进行</w:t>
      </w:r>
      <w:r>
        <w:t>。</w:t>
      </w:r>
      <w:r w:rsidR="00C26267">
        <w:rPr>
          <w:rFonts w:hint="eastAsia"/>
        </w:rPr>
        <w:t>因此需</w:t>
      </w:r>
      <w:r w:rsidR="00163B9D">
        <w:rPr>
          <w:rFonts w:hint="eastAsia"/>
        </w:rPr>
        <w:t>结合</w:t>
      </w:r>
      <w:r>
        <w:t>《中华人民共和国动物防疫法》</w:t>
      </w:r>
      <w:r w:rsidR="00163B9D">
        <w:rPr>
          <w:rFonts w:hint="eastAsia"/>
        </w:rPr>
        <w:t>规定的各项法定义务对产业链各环节进行评价：作为源头的网络商家在未向当地动物卫生监督机构报检的情况下直接将活体动物发货，违反了《动物防疫法》</w:t>
      </w:r>
      <w:r w:rsidR="00163B9D" w:rsidRPr="00163B9D">
        <w:rPr>
          <w:rFonts w:hint="eastAsia"/>
        </w:rPr>
        <w:t>第四十九条</w:t>
      </w:r>
      <w:r w:rsidR="00163B9D">
        <w:rPr>
          <w:rFonts w:hint="eastAsia"/>
        </w:rPr>
        <w:t>“</w:t>
      </w:r>
      <w:r w:rsidR="00163B9D" w:rsidRPr="00163B9D">
        <w:t>屠宰、出售或者运输动物以及出售或者运输动物产品前，货主应当按照国务院农业农村主管部门的规定向所在地动物卫生监督机构申报检疫</w:t>
      </w:r>
      <w:r w:rsidR="00163B9D">
        <w:rPr>
          <w:rFonts w:hint="eastAsia"/>
        </w:rPr>
        <w:t>”以及第二十九条</w:t>
      </w:r>
      <w:r w:rsidR="00163B9D" w:rsidRPr="00163B9D">
        <w:rPr>
          <w:rFonts w:hint="eastAsia"/>
        </w:rPr>
        <w:t>第三项所禁止的“依法应当检疫而未经检疫”</w:t>
      </w:r>
      <w:r w:rsidR="00163B9D">
        <w:rPr>
          <w:rFonts w:hint="eastAsia"/>
        </w:rPr>
        <w:t>；</w:t>
      </w:r>
      <w:r w:rsidR="00163B9D">
        <w:t>快递物流企业对“宠物盲盒”闭眼收寄，且将其与普通货物混装于缺乏温控、通风设备的普通货车中</w:t>
      </w:r>
      <w:r w:rsidR="001F5649">
        <w:rPr>
          <w:rFonts w:hint="eastAsia"/>
        </w:rPr>
        <w:t>既</w:t>
      </w:r>
      <w:r w:rsidR="00163B9D">
        <w:t>违反了《动物防疫法》第五十二条中承运人“无检疫证明不得承运”的强制核验责任</w:t>
      </w:r>
      <w:r w:rsidR="001F5649">
        <w:rPr>
          <w:rFonts w:hint="eastAsia"/>
        </w:rPr>
        <w:t>，又</w:t>
      </w:r>
      <w:r w:rsidR="00163B9D">
        <w:t>违反了第五十四条对动物运输车辆及设备的专门防疫卫生要求。</w:t>
      </w:r>
    </w:p>
    <w:p w14:paraId="39744FAA" w14:textId="3BC2A868" w:rsidR="00C90ACC" w:rsidRDefault="00F02F79" w:rsidP="000B4ECE">
      <w:pPr>
        <w:pStyle w:val="a3"/>
      </w:pPr>
      <w:r>
        <w:t>脱离法定检验检疫与卫生运输规范的网络宠物交易，不仅是</w:t>
      </w:r>
      <w:r>
        <w:rPr>
          <w:rFonts w:hint="eastAsia"/>
        </w:rPr>
        <w:t>对公众</w:t>
      </w:r>
      <w:r w:rsidR="00890D6D">
        <w:rPr>
          <w:rFonts w:hint="eastAsia"/>
        </w:rPr>
        <w:t>合理</w:t>
      </w:r>
      <w:r>
        <w:rPr>
          <w:rFonts w:hint="eastAsia"/>
        </w:rPr>
        <w:t>消费权益的侵犯</w:t>
      </w:r>
      <w:r>
        <w:t>，更</w:t>
      </w:r>
      <w:r>
        <w:rPr>
          <w:rFonts w:hint="eastAsia"/>
        </w:rPr>
        <w:t>暴露出</w:t>
      </w:r>
      <w:r>
        <w:rPr>
          <w:b/>
          <w:bCs/>
        </w:rPr>
        <w:t>动物检疫制度落实严重不足</w:t>
      </w:r>
      <w:r>
        <w:rPr>
          <w:rFonts w:hint="eastAsia"/>
        </w:rPr>
        <w:t>、</w:t>
      </w:r>
      <w:r>
        <w:rPr>
          <w:b/>
          <w:bCs/>
        </w:rPr>
        <w:t>活体动物跨区域流动监管缺失</w:t>
      </w:r>
      <w:r>
        <w:rPr>
          <w:rFonts w:hint="eastAsia"/>
        </w:rPr>
        <w:t>等问题，给公共卫生带来了巨大挑战。</w:t>
      </w:r>
    </w:p>
    <w:p w14:paraId="3E210FE3" w14:textId="35C37AC5" w:rsidR="00C90ACC" w:rsidRDefault="00C90ACC" w:rsidP="00C90ACC">
      <w:r>
        <w:rPr>
          <w:rFonts w:hint="eastAsia"/>
        </w:rPr>
        <w:t>“对还是错”</w:t>
      </w:r>
      <w:r w:rsidR="000B4ECE">
        <w:rPr>
          <w:rFonts w:hint="eastAsia"/>
        </w:rPr>
        <w:t>：网络宠物交易乱象的评判</w:t>
      </w:r>
    </w:p>
    <w:p w14:paraId="2CC51842" w14:textId="4380BC92" w:rsidR="00A3023E" w:rsidRDefault="000B4ECE" w:rsidP="00A3023E">
      <w:pPr>
        <w:pStyle w:val="a3"/>
      </w:pPr>
      <w:r>
        <w:t>网络宠物交易作为一种商业模式本身</w:t>
      </w:r>
      <w:r w:rsidR="000544DD">
        <w:rPr>
          <w:rFonts w:hint="eastAsia"/>
        </w:rPr>
        <w:t>并不是要否决的</w:t>
      </w:r>
      <w:r>
        <w:t>，但当前普遍存在的“无证寄递”现象，在法理上是</w:t>
      </w:r>
      <w:r>
        <w:rPr>
          <w:b/>
          <w:bCs/>
        </w:rPr>
        <w:t>绝对错误</w:t>
      </w:r>
      <w:r>
        <w:t>的。其错误不在于</w:t>
      </w:r>
      <w:r w:rsidR="007E69F8">
        <w:rPr>
          <w:rFonts w:hint="eastAsia"/>
        </w:rPr>
        <w:t>将</w:t>
      </w:r>
      <w:r>
        <w:t>交易从线下转移到了线上，而在于网络经营主体与物流承运人</w:t>
      </w:r>
      <w:r w:rsidR="00EC2498">
        <w:rPr>
          <w:rFonts w:hint="eastAsia"/>
        </w:rPr>
        <w:t>未履行</w:t>
      </w:r>
      <w:r>
        <w:rPr>
          <w:b/>
          <w:bCs/>
        </w:rPr>
        <w:t>法定防疫义务</w:t>
      </w:r>
      <w:r w:rsidR="007A55D1">
        <w:rPr>
          <w:rFonts w:hint="eastAsia"/>
        </w:rPr>
        <w:t>，严重</w:t>
      </w:r>
      <w:r w:rsidR="00272591">
        <w:rPr>
          <w:rFonts w:hint="eastAsia"/>
        </w:rPr>
        <w:t>破坏了</w:t>
      </w:r>
      <w:r>
        <w:t>《中华人民共和国动物防疫法》确立的“预防为主、全链条监管”基本法律制度。</w:t>
      </w:r>
      <w:r w:rsidR="00A3023E">
        <w:t>从动物卫生法制视角来看，该现象的核心之“错”集中体现在以下三个层面：</w:t>
      </w:r>
    </w:p>
    <w:p w14:paraId="0515728B" w14:textId="77777777" w:rsidR="00F40642" w:rsidRDefault="00A3023E" w:rsidP="00A3023E">
      <w:pPr>
        <w:pStyle w:val="a3"/>
      </w:pPr>
      <w:r>
        <w:rPr>
          <w:b/>
          <w:bCs/>
        </w:rPr>
        <w:lastRenderedPageBreak/>
        <w:t>1. 义务的私人卸责与成本转嫁</w:t>
      </w:r>
      <w:r>
        <w:t xml:space="preserve"> </w:t>
      </w:r>
    </w:p>
    <w:p w14:paraId="20406988" w14:textId="2589083C" w:rsidR="00A3023E" w:rsidRDefault="00A3023E" w:rsidP="00A3023E">
      <w:pPr>
        <w:pStyle w:val="a3"/>
      </w:pPr>
      <w:r>
        <w:t>动物检疫制度的设立，是为了对抗疫病传播</w:t>
      </w:r>
      <w:r w:rsidR="00F40642">
        <w:rPr>
          <w:rFonts w:hint="eastAsia"/>
        </w:rPr>
        <w:t>的潜在风险</w:t>
      </w:r>
      <w:r>
        <w:t>。网络商家与违规中介为了压缩</w:t>
      </w:r>
      <w:r w:rsidR="005D5D6F">
        <w:rPr>
          <w:rFonts w:hint="eastAsia"/>
        </w:rPr>
        <w:t>检疫流程的时间与金钱</w:t>
      </w:r>
      <w:r>
        <w:t>成本、实现利益最大化，选择放弃检疫申报与合规运输。</w:t>
      </w:r>
      <w:r w:rsidR="00FE31FF">
        <w:rPr>
          <w:rFonts w:hint="eastAsia"/>
        </w:rPr>
        <w:t>这本质上就是将</w:t>
      </w:r>
      <w:r>
        <w:t>由经营者承担的“生物安全防范成本”，非法转嫁给了</w:t>
      </w:r>
      <w:r w:rsidR="002D66B8">
        <w:rPr>
          <w:rFonts w:hint="eastAsia"/>
        </w:rPr>
        <w:t>无辜的消费者</w:t>
      </w:r>
      <w:r>
        <w:t>与全社会。</w:t>
      </w:r>
    </w:p>
    <w:p w14:paraId="5F270D0B" w14:textId="31A8CE5A" w:rsidR="00C215F1" w:rsidRDefault="00A3023E" w:rsidP="00A3023E">
      <w:pPr>
        <w:pStyle w:val="a3"/>
      </w:pPr>
      <w:r>
        <w:rPr>
          <w:b/>
          <w:bCs/>
        </w:rPr>
        <w:t>2. 物理</w:t>
      </w:r>
      <w:r w:rsidR="00C215F1">
        <w:rPr>
          <w:rFonts w:hint="eastAsia"/>
          <w:b/>
          <w:bCs/>
        </w:rPr>
        <w:t>熔断</w:t>
      </w:r>
      <w:r>
        <w:rPr>
          <w:b/>
          <w:bCs/>
        </w:rPr>
        <w:t>行政监管</w:t>
      </w:r>
      <w:r>
        <w:t xml:space="preserve"> </w:t>
      </w:r>
    </w:p>
    <w:p w14:paraId="621D50CF" w14:textId="0B94DEE8" w:rsidR="00A3023E" w:rsidRDefault="00A3023E" w:rsidP="00A3023E">
      <w:pPr>
        <w:pStyle w:val="a3"/>
      </w:pPr>
      <w:r>
        <w:t>传统的动物卫生监督依赖于“产地检疫—运输查验—落地报告”的线性闭环。网络宠物交易利用电商平台与快递网点的多层嵌套，人为制造了“信息黑箱”</w:t>
      </w:r>
      <w:r w:rsidR="00C215F1">
        <w:rPr>
          <w:rFonts w:hint="eastAsia"/>
        </w:rPr>
        <w:t>，</w:t>
      </w:r>
      <w:r>
        <w:t>导致执法部门无法掌握活体动物的真实来源与流向，使得《动物防疫法》赋予行政机关的流行病学调查权与应急处置权在网络交易面前彻底失效。</w:t>
      </w:r>
    </w:p>
    <w:p w14:paraId="6BCD06AA" w14:textId="7D82424C" w:rsidR="00BB412C" w:rsidRDefault="00A3023E" w:rsidP="00A3023E">
      <w:pPr>
        <w:pStyle w:val="a3"/>
      </w:pPr>
      <w:r>
        <w:rPr>
          <w:b/>
          <w:bCs/>
        </w:rPr>
        <w:t>3. 诱发“劣币驱逐良币”的市场效应</w:t>
      </w:r>
      <w:r>
        <w:t xml:space="preserve"> </w:t>
      </w:r>
    </w:p>
    <w:p w14:paraId="19B1FD34" w14:textId="16A61155" w:rsidR="00A3023E" w:rsidRDefault="00A3023E" w:rsidP="00A3023E">
      <w:pPr>
        <w:pStyle w:val="a3"/>
      </w:pPr>
      <w:r>
        <w:t>当违规经营者通过逃避检疫获得低成本优势，且未受到</w:t>
      </w:r>
      <w:r w:rsidR="00BB412C">
        <w:rPr>
          <w:rFonts w:hint="eastAsia"/>
        </w:rPr>
        <w:t>相应的</w:t>
      </w:r>
      <w:r>
        <w:t>处罚时，其违法收益远大于违法成本。这种现象</w:t>
      </w:r>
      <w:r w:rsidR="00BB412C">
        <w:rPr>
          <w:rFonts w:hint="eastAsia"/>
        </w:rPr>
        <w:t>反倒是“惩罚”</w:t>
      </w:r>
      <w:r>
        <w:t>那些严格</w:t>
      </w:r>
      <w:r w:rsidR="00BB412C">
        <w:rPr>
          <w:rFonts w:hint="eastAsia"/>
        </w:rPr>
        <w:t>遵照执行法规流程</w:t>
      </w:r>
      <w:r>
        <w:t>的合规经营者，导致整个网络宠物市场陷入法不责众的恶性循环。</w:t>
      </w:r>
    </w:p>
    <w:p w14:paraId="156B5D38" w14:textId="77777777" w:rsidR="00C90ACC" w:rsidRPr="003B631F" w:rsidRDefault="00C90ACC" w:rsidP="00C90ACC"/>
    <w:p w14:paraId="5115218A" w14:textId="77777777" w:rsidR="00FB6CC3" w:rsidRPr="00FB6CC3" w:rsidRDefault="00FB6CC3" w:rsidP="00FB6CC3">
      <w:pPr>
        <w:widowControl/>
        <w:spacing w:before="100" w:beforeAutospacing="1" w:after="100" w:afterAutospacing="1"/>
        <w:jc w:val="left"/>
        <w:outlineLvl w:val="1"/>
        <w:rPr>
          <w:rFonts w:ascii="宋体" w:eastAsia="宋体" w:hAnsi="宋体" w:cs="宋体"/>
          <w:b/>
          <w:bCs/>
          <w:kern w:val="0"/>
          <w:sz w:val="36"/>
          <w:szCs w:val="36"/>
        </w:rPr>
      </w:pPr>
      <w:r w:rsidRPr="00FB6CC3">
        <w:rPr>
          <w:rFonts w:ascii="宋体" w:eastAsia="宋体" w:hAnsi="宋体" w:cs="宋体"/>
          <w:b/>
          <w:bCs/>
          <w:kern w:val="0"/>
          <w:sz w:val="36"/>
          <w:szCs w:val="36"/>
        </w:rPr>
        <w:t>问题产生的法制原因分析：规制失灵与体制瓶颈</w:t>
      </w:r>
    </w:p>
    <w:p w14:paraId="32B49C93" w14:textId="00D7CD30" w:rsidR="00FB6CC3" w:rsidRPr="00FB6CC3" w:rsidRDefault="00FB6CC3" w:rsidP="00FB6CC3">
      <w:pPr>
        <w:widowControl/>
        <w:spacing w:before="100" w:beforeAutospacing="1" w:after="100" w:afterAutospacing="1"/>
        <w:jc w:val="left"/>
        <w:rPr>
          <w:rFonts w:ascii="宋体" w:eastAsia="宋体" w:hAnsi="宋体" w:cs="宋体" w:hint="eastAsia"/>
          <w:kern w:val="0"/>
          <w:sz w:val="24"/>
          <w:szCs w:val="24"/>
        </w:rPr>
      </w:pPr>
      <w:r w:rsidRPr="00FB6CC3">
        <w:rPr>
          <w:rFonts w:ascii="宋体" w:eastAsia="宋体" w:hAnsi="宋体" w:cs="宋体"/>
          <w:kern w:val="0"/>
          <w:sz w:val="24"/>
          <w:szCs w:val="24"/>
        </w:rPr>
        <w:t>网络宠物交易乱象</w:t>
      </w:r>
      <w:r w:rsidR="003B631F">
        <w:rPr>
          <w:rFonts w:ascii="宋体" w:eastAsia="宋体" w:hAnsi="宋体" w:cs="宋体" w:hint="eastAsia"/>
          <w:kern w:val="0"/>
          <w:sz w:val="24"/>
          <w:szCs w:val="24"/>
        </w:rPr>
        <w:t>存在的背后</w:t>
      </w:r>
      <w:r w:rsidRPr="00FB6CC3">
        <w:rPr>
          <w:rFonts w:ascii="宋体" w:eastAsia="宋体" w:hAnsi="宋体" w:cs="宋体"/>
          <w:kern w:val="0"/>
          <w:sz w:val="24"/>
          <w:szCs w:val="24"/>
        </w:rPr>
        <w:t>并</w:t>
      </w:r>
      <w:r w:rsidR="003B631F">
        <w:rPr>
          <w:rFonts w:ascii="宋体" w:eastAsia="宋体" w:hAnsi="宋体" w:cs="宋体" w:hint="eastAsia"/>
          <w:kern w:val="0"/>
          <w:sz w:val="24"/>
          <w:szCs w:val="24"/>
        </w:rPr>
        <w:t>不是</w:t>
      </w:r>
      <w:r w:rsidRPr="00FB6CC3">
        <w:rPr>
          <w:rFonts w:ascii="宋体" w:eastAsia="宋体" w:hAnsi="宋体" w:cs="宋体"/>
          <w:kern w:val="0"/>
          <w:sz w:val="24"/>
          <w:szCs w:val="24"/>
        </w:rPr>
        <w:t>单纯的市场道德败坏，而是传统动物卫生法制在遭遇数字经济冲击时</w:t>
      </w:r>
      <w:r w:rsidR="003B631F">
        <w:rPr>
          <w:rFonts w:ascii="宋体" w:eastAsia="宋体" w:hAnsi="宋体" w:cs="宋体" w:hint="eastAsia"/>
          <w:kern w:val="0"/>
          <w:sz w:val="24"/>
          <w:szCs w:val="24"/>
        </w:rPr>
        <w:t>暴露出的系统性</w:t>
      </w:r>
      <w:r w:rsidRPr="00FB6CC3">
        <w:rPr>
          <w:rFonts w:ascii="宋体" w:eastAsia="宋体" w:hAnsi="宋体" w:cs="宋体"/>
          <w:kern w:val="0"/>
          <w:sz w:val="24"/>
          <w:szCs w:val="24"/>
        </w:rPr>
        <w:t>与结构性的</w:t>
      </w:r>
      <w:r w:rsidR="003B631F">
        <w:rPr>
          <w:rFonts w:ascii="宋体" w:eastAsia="宋体" w:hAnsi="宋体" w:cs="宋体" w:hint="eastAsia"/>
          <w:kern w:val="0"/>
          <w:sz w:val="24"/>
          <w:szCs w:val="24"/>
        </w:rPr>
        <w:t>交叉困境</w:t>
      </w:r>
      <w:r w:rsidR="009E65AF">
        <w:rPr>
          <w:rFonts w:ascii="宋体" w:eastAsia="宋体" w:hAnsi="宋体" w:cs="宋体" w:hint="eastAsia"/>
          <w:kern w:val="0"/>
          <w:sz w:val="24"/>
          <w:szCs w:val="24"/>
        </w:rPr>
        <w:t>：</w:t>
      </w:r>
    </w:p>
    <w:p w14:paraId="55E78D64" w14:textId="69F773E9" w:rsidR="00FB6CC3" w:rsidRPr="00FB6CC3" w:rsidRDefault="00FB6CC3" w:rsidP="00FB6CC3">
      <w:pPr>
        <w:widowControl/>
        <w:spacing w:before="100" w:beforeAutospacing="1" w:after="100" w:afterAutospacing="1"/>
        <w:jc w:val="left"/>
        <w:outlineLvl w:val="2"/>
        <w:rPr>
          <w:rFonts w:ascii="宋体" w:eastAsia="宋体" w:hAnsi="宋体" w:cs="宋体"/>
          <w:b/>
          <w:bCs/>
          <w:kern w:val="0"/>
          <w:sz w:val="27"/>
          <w:szCs w:val="27"/>
        </w:rPr>
      </w:pPr>
      <w:r w:rsidRPr="00FB6CC3">
        <w:rPr>
          <w:rFonts w:ascii="宋体" w:eastAsia="宋体" w:hAnsi="宋体" w:cs="宋体"/>
          <w:b/>
          <w:bCs/>
          <w:kern w:val="0"/>
          <w:sz w:val="27"/>
          <w:szCs w:val="27"/>
        </w:rPr>
        <w:t>（一）立法层面：传统法律框架与数字经济的错位</w:t>
      </w:r>
    </w:p>
    <w:p w14:paraId="42BE0E37" w14:textId="106E3C70" w:rsidR="00FB6CC3" w:rsidRPr="00FB6CC3" w:rsidRDefault="00FB6CC3" w:rsidP="009E65AF">
      <w:pPr>
        <w:widowControl/>
        <w:spacing w:before="100" w:beforeAutospacing="1" w:after="100" w:afterAutospacing="1"/>
        <w:jc w:val="left"/>
        <w:rPr>
          <w:rFonts w:ascii="宋体" w:eastAsia="宋体" w:hAnsi="宋体" w:cs="宋体"/>
          <w:kern w:val="0"/>
          <w:sz w:val="24"/>
          <w:szCs w:val="24"/>
        </w:rPr>
      </w:pPr>
      <w:r w:rsidRPr="00FB6CC3">
        <w:rPr>
          <w:rFonts w:ascii="宋体" w:eastAsia="宋体" w:hAnsi="宋体" w:cs="宋体"/>
          <w:kern w:val="0"/>
          <w:sz w:val="24"/>
          <w:szCs w:val="24"/>
        </w:rPr>
        <w:t>现行《中华人民共和国动物防疫法》的立法逻辑，深植于传统的畜禽规模化养殖与线下点对点</w:t>
      </w:r>
      <w:r w:rsidR="009E65AF">
        <w:rPr>
          <w:rFonts w:ascii="宋体" w:eastAsia="宋体" w:hAnsi="宋体" w:cs="宋体" w:hint="eastAsia"/>
          <w:kern w:val="0"/>
          <w:sz w:val="24"/>
          <w:szCs w:val="24"/>
        </w:rPr>
        <w:t>的</w:t>
      </w:r>
      <w:r w:rsidRPr="00FB6CC3">
        <w:rPr>
          <w:rFonts w:ascii="宋体" w:eastAsia="宋体" w:hAnsi="宋体" w:cs="宋体"/>
          <w:kern w:val="0"/>
          <w:sz w:val="24"/>
          <w:szCs w:val="24"/>
        </w:rPr>
        <w:t>调运模式。面对高度去中心化的网络交易，现行法律对于这种碎片化的“C2C”或“B2C”零散发货模式，缺乏低成本、高效率的专项检疫申报路径，导致守法成本过高，客观上“倒逼”部分商户选择非法规避。</w:t>
      </w:r>
    </w:p>
    <w:p w14:paraId="3F63C537" w14:textId="77777777" w:rsidR="00FB6CC3" w:rsidRPr="00FB6CC3" w:rsidRDefault="00FB6CC3" w:rsidP="009E65AF">
      <w:pPr>
        <w:widowControl/>
        <w:spacing w:before="100" w:beforeAutospacing="1" w:after="100" w:afterAutospacing="1"/>
        <w:jc w:val="left"/>
        <w:rPr>
          <w:rFonts w:ascii="宋体" w:eastAsia="宋体" w:hAnsi="宋体" w:cs="宋体"/>
          <w:kern w:val="0"/>
          <w:sz w:val="24"/>
          <w:szCs w:val="24"/>
        </w:rPr>
      </w:pPr>
      <w:r w:rsidRPr="00FB6CC3">
        <w:rPr>
          <w:rFonts w:ascii="宋体" w:eastAsia="宋体" w:hAnsi="宋体" w:cs="宋体"/>
          <w:kern w:val="0"/>
          <w:sz w:val="24"/>
          <w:szCs w:val="24"/>
        </w:rPr>
        <w:t>在数字经济环境下，电商平台是控制交易流向的枢纽。正如刘大洪等（2021）在论述电子商务平台“网络守门人”责任时所指出的，当行政机关面对海量线上主体导致监管成本激增时，必须引入平台的协同规制（刘大洪等，2021）。然而，现行《动物防疫法》尚未与《电子商务法》形成有效衔接，未将“官方动物检疫证明”列为活体商家上架的法定强制核验要件。平台往往以“避风港原则”推脱责任，客观上为非法交易提供了庇护所。</w:t>
      </w:r>
    </w:p>
    <w:p w14:paraId="7191B39B" w14:textId="77777777" w:rsidR="00FB6CC3" w:rsidRPr="00FB6CC3" w:rsidRDefault="00FB6CC3" w:rsidP="00FB6CC3">
      <w:pPr>
        <w:widowControl/>
        <w:spacing w:before="100" w:beforeAutospacing="1" w:after="100" w:afterAutospacing="1"/>
        <w:jc w:val="left"/>
        <w:outlineLvl w:val="2"/>
        <w:rPr>
          <w:rFonts w:ascii="宋体" w:eastAsia="宋体" w:hAnsi="宋体" w:cs="宋体"/>
          <w:b/>
          <w:bCs/>
          <w:kern w:val="0"/>
          <w:sz w:val="27"/>
          <w:szCs w:val="27"/>
        </w:rPr>
      </w:pPr>
      <w:r w:rsidRPr="00FB6CC3">
        <w:rPr>
          <w:rFonts w:ascii="宋体" w:eastAsia="宋体" w:hAnsi="宋体" w:cs="宋体"/>
          <w:b/>
          <w:bCs/>
          <w:kern w:val="0"/>
          <w:sz w:val="27"/>
          <w:szCs w:val="27"/>
        </w:rPr>
        <w:t>（二）体制结构瓶颈：“街头官僚”的容量危机与权责断层</w:t>
      </w:r>
    </w:p>
    <w:p w14:paraId="7DA43F56" w14:textId="77777777" w:rsidR="00FB6CC3" w:rsidRPr="00FB6CC3" w:rsidRDefault="00FB6CC3" w:rsidP="00FB6CC3">
      <w:pPr>
        <w:widowControl/>
        <w:spacing w:before="100" w:beforeAutospacing="1" w:after="100" w:afterAutospacing="1"/>
        <w:jc w:val="left"/>
        <w:rPr>
          <w:rFonts w:ascii="宋体" w:eastAsia="宋体" w:hAnsi="宋体" w:cs="宋体"/>
          <w:kern w:val="0"/>
          <w:sz w:val="24"/>
          <w:szCs w:val="24"/>
        </w:rPr>
      </w:pPr>
      <w:r w:rsidRPr="00FB6CC3">
        <w:rPr>
          <w:rFonts w:ascii="宋体" w:eastAsia="宋体" w:hAnsi="宋体" w:cs="宋体"/>
          <w:kern w:val="0"/>
          <w:sz w:val="24"/>
          <w:szCs w:val="24"/>
        </w:rPr>
        <w:lastRenderedPageBreak/>
        <w:t>在基层动物卫生监督的末端，执法资源匮乏与激增的监管任务之间存在着不可调和的矛盾。根据韩志明（2018）阐释的“街头官僚”理论，一线行政执法者在面临系统性资源约束与任务超载时，往往被迫采取“适应性策略”或选择性执法（韩志明，2018）。</w:t>
      </w:r>
    </w:p>
    <w:p w14:paraId="211EB42A" w14:textId="492ECCF4" w:rsidR="00FB6CC3" w:rsidRPr="00FB6CC3" w:rsidRDefault="00FB6CC3" w:rsidP="007A750D">
      <w:pPr>
        <w:widowControl/>
        <w:spacing w:before="100" w:beforeAutospacing="1" w:after="100" w:afterAutospacing="1"/>
        <w:jc w:val="left"/>
        <w:rPr>
          <w:rFonts w:ascii="宋体" w:eastAsia="宋体" w:hAnsi="宋体" w:cs="宋体"/>
          <w:kern w:val="0"/>
          <w:sz w:val="24"/>
          <w:szCs w:val="24"/>
        </w:rPr>
      </w:pPr>
      <w:r w:rsidRPr="00FB6CC3">
        <w:rPr>
          <w:rFonts w:ascii="宋体" w:eastAsia="宋体" w:hAnsi="宋体" w:cs="宋体"/>
          <w:kern w:val="0"/>
          <w:sz w:val="24"/>
          <w:szCs w:val="24"/>
        </w:rPr>
        <w:t xml:space="preserve">随着畜牧业规模化及互联网流通的发展，基层动物检疫业务量本身就在持续爆发。以云南省腾冲市为例，仅2021-2025年间，基层需应对的畜禽及各类动物检疫数量极为庞大且种类复杂，激增的工作量直接推高了误检或漏检的系统性风险。在此高压常态下，基层官方兽医仅应对传统畜牧业的检疫申报已捉襟见肘，根本无力抽身对隐蔽、分散的网络宠物繁育暗流实施主动摸排。 </w:t>
      </w:r>
    </w:p>
    <w:p w14:paraId="3D7478EE" w14:textId="77777777" w:rsidR="00FB6CC3" w:rsidRPr="00FB6CC3" w:rsidRDefault="00FB6CC3" w:rsidP="007A750D">
      <w:pPr>
        <w:widowControl/>
        <w:spacing w:before="100" w:beforeAutospacing="1" w:after="100" w:afterAutospacing="1"/>
        <w:jc w:val="left"/>
        <w:rPr>
          <w:rFonts w:ascii="宋体" w:eastAsia="宋体" w:hAnsi="宋体" w:cs="宋体"/>
          <w:kern w:val="0"/>
          <w:sz w:val="24"/>
          <w:szCs w:val="24"/>
        </w:rPr>
      </w:pPr>
      <w:r w:rsidRPr="00FB6CC3">
        <w:rPr>
          <w:rFonts w:ascii="宋体" w:eastAsia="宋体" w:hAnsi="宋体" w:cs="宋体"/>
          <w:kern w:val="0"/>
          <w:sz w:val="24"/>
          <w:szCs w:val="24"/>
        </w:rPr>
        <w:t>近年来，部分地区推行基层执法体制改革。据刘顺能等（2026）在文山州的实证调研发现，原由乡镇承担的动物检疫行政职能统一上划至县级农业农村主管部门后，县级机构面临“小马拉大车”的系统性挑战（刘顺能等，2026）。与此同时，直面网络宠物繁育第一线的乡镇防疫机构，却因职能剥离而陷入“权责相悖”的境地——“看得见的管不着，管得着的看不见”。这种双重错位导致了基层监管网络的物理断裂。</w:t>
      </w:r>
    </w:p>
    <w:p w14:paraId="3850243E" w14:textId="77777777" w:rsidR="00FB6CC3" w:rsidRPr="00FB6CC3" w:rsidRDefault="00FB6CC3" w:rsidP="00FB6CC3">
      <w:pPr>
        <w:widowControl/>
        <w:spacing w:before="100" w:beforeAutospacing="1" w:after="100" w:afterAutospacing="1"/>
        <w:jc w:val="left"/>
        <w:outlineLvl w:val="2"/>
        <w:rPr>
          <w:rFonts w:ascii="宋体" w:eastAsia="宋体" w:hAnsi="宋体" w:cs="宋体"/>
          <w:b/>
          <w:bCs/>
          <w:kern w:val="0"/>
          <w:sz w:val="27"/>
          <w:szCs w:val="27"/>
        </w:rPr>
      </w:pPr>
      <w:r w:rsidRPr="00FB6CC3">
        <w:rPr>
          <w:rFonts w:ascii="宋体" w:eastAsia="宋体" w:hAnsi="宋体" w:cs="宋体"/>
          <w:b/>
          <w:bCs/>
          <w:kern w:val="0"/>
          <w:sz w:val="27"/>
          <w:szCs w:val="27"/>
        </w:rPr>
        <w:t>（三）协同执法的法制壁垒：跨地域与跨部门的“数据孤岛”</w:t>
      </w:r>
    </w:p>
    <w:p w14:paraId="52EA26AC" w14:textId="2379862F" w:rsidR="00FB6CC3" w:rsidRPr="00FB6CC3" w:rsidRDefault="00FB6CC3" w:rsidP="007A750D">
      <w:pPr>
        <w:widowControl/>
        <w:spacing w:before="100" w:beforeAutospacing="1" w:after="100" w:afterAutospacing="1"/>
        <w:jc w:val="left"/>
        <w:rPr>
          <w:rFonts w:ascii="宋体" w:eastAsia="宋体" w:hAnsi="宋体" w:cs="宋体"/>
          <w:kern w:val="0"/>
          <w:sz w:val="24"/>
          <w:szCs w:val="24"/>
        </w:rPr>
      </w:pPr>
      <w:r w:rsidRPr="00FB6CC3">
        <w:rPr>
          <w:rFonts w:ascii="宋体" w:eastAsia="宋体" w:hAnsi="宋体" w:cs="宋体"/>
          <w:kern w:val="0"/>
          <w:sz w:val="24"/>
          <w:szCs w:val="24"/>
        </w:rPr>
        <w:t>网络活体宠物交易天然具有跨越物理边界的属性，这与我国现行的动物卫生行政监管体制产生了剧烈摩擦。违规寄递的宠物往往卖家在A省，经由B省物流中转，最终到达C省买家手中。这种分离式交易使得坚持“属地管辖”原则的地方农业执法队伍面临极大的异地调查与取证壁垒，导致违法行为难以被全链条追溯。</w:t>
      </w:r>
    </w:p>
    <w:p w14:paraId="7BDA719E" w14:textId="081D6EE0" w:rsidR="00FB6CC3" w:rsidRPr="00FB6CC3" w:rsidRDefault="00FB6CC3" w:rsidP="007A750D">
      <w:pPr>
        <w:widowControl/>
        <w:spacing w:before="100" w:beforeAutospacing="1" w:after="100" w:afterAutospacing="1"/>
        <w:jc w:val="left"/>
        <w:rPr>
          <w:rFonts w:ascii="宋体" w:eastAsia="宋体" w:hAnsi="宋体" w:cs="宋体"/>
          <w:kern w:val="0"/>
          <w:sz w:val="24"/>
          <w:szCs w:val="24"/>
        </w:rPr>
      </w:pPr>
      <w:r w:rsidRPr="00FB6CC3">
        <w:rPr>
          <w:rFonts w:ascii="宋体" w:eastAsia="宋体" w:hAnsi="宋体" w:cs="宋体"/>
          <w:kern w:val="0"/>
          <w:sz w:val="24"/>
          <w:szCs w:val="24"/>
        </w:rPr>
        <w:t xml:space="preserve">动物防疫检疫工作横跨多个行政管理领域，但在实际执行中，部门间协作往往流于形式，多头管理与监管盲区并存。目前，农业农村部门（管检疫）、邮政管理部门（管快递）、市场监管部门（管平台）之间缺乏法定的数据强制共享机制。农业部门的检疫数据无法实时推送给物流企业进行自动拦截，致使《动物防疫法》规定的“承运人查验责任”因缺乏技术接口而沦为空谈。 </w:t>
      </w:r>
    </w:p>
    <w:p w14:paraId="0645B223" w14:textId="77777777" w:rsidR="00FB6CC3" w:rsidRPr="00FB6CC3" w:rsidRDefault="00FB6CC3" w:rsidP="00FB6CC3">
      <w:pPr>
        <w:widowControl/>
        <w:spacing w:before="100" w:beforeAutospacing="1" w:after="100" w:afterAutospacing="1"/>
        <w:jc w:val="left"/>
        <w:outlineLvl w:val="2"/>
        <w:rPr>
          <w:rFonts w:ascii="宋体" w:eastAsia="宋体" w:hAnsi="宋体" w:cs="宋体"/>
          <w:b/>
          <w:bCs/>
          <w:kern w:val="0"/>
          <w:sz w:val="27"/>
          <w:szCs w:val="27"/>
        </w:rPr>
      </w:pPr>
      <w:r w:rsidRPr="00FB6CC3">
        <w:rPr>
          <w:rFonts w:ascii="宋体" w:eastAsia="宋体" w:hAnsi="宋体" w:cs="宋体"/>
          <w:b/>
          <w:bCs/>
          <w:kern w:val="0"/>
          <w:sz w:val="27"/>
          <w:szCs w:val="27"/>
        </w:rPr>
        <w:t>（四）违法成本与规制威慑力的失衡</w:t>
      </w:r>
    </w:p>
    <w:p w14:paraId="3ACFA662" w14:textId="77777777" w:rsidR="00FB6CC3" w:rsidRPr="00FB6CC3" w:rsidRDefault="00FB6CC3" w:rsidP="00FB6CC3">
      <w:pPr>
        <w:widowControl/>
        <w:spacing w:before="100" w:beforeAutospacing="1" w:after="100" w:afterAutospacing="1"/>
        <w:jc w:val="left"/>
        <w:rPr>
          <w:rFonts w:ascii="宋体" w:eastAsia="宋体" w:hAnsi="宋体" w:cs="宋体"/>
          <w:kern w:val="0"/>
          <w:sz w:val="24"/>
          <w:szCs w:val="24"/>
        </w:rPr>
      </w:pPr>
      <w:r w:rsidRPr="00FB6CC3">
        <w:rPr>
          <w:rFonts w:ascii="宋体" w:eastAsia="宋体" w:hAnsi="宋体" w:cs="宋体"/>
          <w:kern w:val="0"/>
          <w:sz w:val="24"/>
          <w:szCs w:val="24"/>
        </w:rPr>
        <w:t>网络宠物交易中存在严重的“违法收益极高，而违法成本极低”的倒挂现象。由于单笔活体交易金额通常较小，即便被执法部门偶发性查处，其行政罚款金额远低于其长期逃避检疫、违规运输所省下的制度成本。长效信用惩戒机制的缺位，使得传统行政处罚无法在庞大的网络市场中形成有效威慑。</w:t>
      </w:r>
    </w:p>
    <w:p w14:paraId="075A73F5" w14:textId="77777777" w:rsidR="003A7429" w:rsidRDefault="003A7429" w:rsidP="003A7429">
      <w:pPr>
        <w:pStyle w:val="2"/>
      </w:pPr>
      <w:r>
        <w:t>五、 动物卫生法制视角下的治理路径与制度重构</w:t>
      </w:r>
    </w:p>
    <w:p w14:paraId="341F4004" w14:textId="77777777" w:rsidR="003A7429" w:rsidRDefault="003A7429" w:rsidP="003A7429">
      <w:pPr>
        <w:pStyle w:val="a3"/>
      </w:pPr>
      <w:r>
        <w:lastRenderedPageBreak/>
        <w:t>针对网络宠物交易中暴露出的规制失灵与体制瓶颈，单纯依靠增加基层兽医编制或开展短期“运动式执法”已无法触及病灶。必须实现从“线下人工盯防”向“全链条数字治理”的法治范式转型，构建“法律授权—技术赋能—部门协同”的治理闭环。</w:t>
      </w:r>
    </w:p>
    <w:p w14:paraId="2DE7B445" w14:textId="42FFA6B6" w:rsidR="003A7429" w:rsidRDefault="003A7429" w:rsidP="007A750D">
      <w:pPr>
        <w:pStyle w:val="3"/>
        <w:numPr>
          <w:ilvl w:val="0"/>
          <w:numId w:val="10"/>
        </w:numPr>
      </w:pPr>
      <w:r>
        <w:t>完善电子商务与动物防疫的法律衔接，压实“守门人”责任</w:t>
      </w:r>
    </w:p>
    <w:p w14:paraId="357766B4" w14:textId="6F6CFBAA" w:rsidR="003A7429" w:rsidRDefault="003A7429" w:rsidP="007A750D">
      <w:pPr>
        <w:pStyle w:val="a3"/>
      </w:pPr>
      <w:r>
        <w:t>打破网络交易“规制失灵”的</w:t>
      </w:r>
      <w:r w:rsidR="007A750D">
        <w:rPr>
          <w:rFonts w:hint="eastAsia"/>
        </w:rPr>
        <w:t>关键</w:t>
      </w:r>
      <w:r>
        <w:t>在于赋予电商平台强制性的协管义务，切断未经检疫宠物的线上展示与交易渠道。</w:t>
      </w:r>
      <w:r w:rsidR="007A750D">
        <w:rPr>
          <w:rFonts w:hint="eastAsia"/>
        </w:rPr>
        <w:t>因此可以</w:t>
      </w:r>
      <w:r>
        <w:t>在《动物防疫法》或《电子商务法》的后续实施条例中，明确将“官方动物检疫合格证明”作为活体动物（含异宠）网络上架的法定前置要件。</w:t>
      </w:r>
      <w:r w:rsidR="007A750D">
        <w:rPr>
          <w:rFonts w:hint="eastAsia"/>
        </w:rPr>
        <w:t>并</w:t>
      </w:r>
      <w:r>
        <w:t>要求平台对无法提供检疫证明、伪造证明或因违规运输引发重大死亡事件的商户，实施断开链接、封禁账号等处置，并将线索依法移交农业综合行政执法部门。</w:t>
      </w:r>
    </w:p>
    <w:p w14:paraId="40ABCBBA" w14:textId="2E83A064" w:rsidR="003A7429" w:rsidRDefault="003A7429" w:rsidP="00A910DD">
      <w:pPr>
        <w:pStyle w:val="3"/>
        <w:numPr>
          <w:ilvl w:val="0"/>
          <w:numId w:val="10"/>
        </w:numPr>
      </w:pPr>
      <w:r>
        <w:t>依托数字监管突破“街头官僚”的执法容量瓶颈</w:t>
      </w:r>
    </w:p>
    <w:p w14:paraId="1691CF90" w14:textId="008FFA58" w:rsidR="003A7429" w:rsidRDefault="003A7429" w:rsidP="00A910DD">
      <w:pPr>
        <w:pStyle w:val="a3"/>
      </w:pPr>
      <w:r>
        <w:t>针对基层“小马拉大车”的体制困境，应当通过技术赋能，以算法规制替代部分人工核验，降低执法成本。废止易被伪造的纸质检疫证明，全面推行附带区块链存证与动态二维码的“电子检疫证明”</w:t>
      </w:r>
      <w:r w:rsidR="00A910DD">
        <w:rPr>
          <w:rFonts w:hint="eastAsia"/>
        </w:rPr>
        <w:t>。</w:t>
      </w:r>
      <w:r>
        <w:t>结合大语言模型（LLM）与检索增强生成（RAG）技术，在监管端开发“智能动物卫生合规Agent”。该系统可自动抓取电商平台的活体交易报表与电子检疫证，实时比对产地疫病风险等级与动物种类信息，一旦发现证件造假或高风险疫区调运，自动向基层执法终端发送预警，实现从“被动响应”向“精准靶向执法”的跨越。</w:t>
      </w:r>
    </w:p>
    <w:p w14:paraId="72D479F6" w14:textId="32BA9D0A" w:rsidR="003A7429" w:rsidRDefault="003A7429" w:rsidP="003A7429">
      <w:pPr>
        <w:pStyle w:val="3"/>
      </w:pPr>
      <w:r>
        <w:t>（三）构建跨部门数据共享</w:t>
      </w:r>
    </w:p>
    <w:p w14:paraId="2EFF8AC1" w14:textId="3602080E" w:rsidR="003A7429" w:rsidRDefault="003A7429" w:rsidP="006B07C8">
      <w:pPr>
        <w:pStyle w:val="a3"/>
      </w:pPr>
      <w:r>
        <w:t>打破“属地管辖”与多头管理的壁垒，重塑网络活体流通的监管链条。农业农村部门的电子检疫数据必须向邮政管理部门开放接口。快递企业在揽收活体动物时，其终端扫码枪必须能直接校验检疫码，无码或扫码显示无效的，系统前端直接锁死，从技术上强制落实《动物防疫法》的承运人查验责任。</w:t>
      </w:r>
    </w:p>
    <w:p w14:paraId="30D0FC72" w14:textId="77777777" w:rsidR="003A7429" w:rsidRDefault="003A7429" w:rsidP="003A7429">
      <w:pPr>
        <w:pStyle w:val="3"/>
      </w:pPr>
      <w:r>
        <w:t>（四）细化活体动物运输的法定卫生与福利标准</w:t>
      </w:r>
    </w:p>
    <w:p w14:paraId="24FC6ABB" w14:textId="48D233ED" w:rsidR="003A7429" w:rsidRDefault="003A7429" w:rsidP="006B07C8">
      <w:pPr>
        <w:pStyle w:val="a3"/>
      </w:pPr>
      <w:r>
        <w:t>填补“盲盒运输”的法律真空，将动物福利诉求转化为可执行的行政卫生标准。以部门规章形式，明确不同种类宠物（如犬猫、爬行类、禽类）运输过程中的空间密度、温度控制、通风换气及最长运输时长等强制性量化标准。禁止使用不具备生命保障与卫生消毒条件的普通厢式货车混装寄递活体动物，倒逼物流行业设立专业的活体动物运输业务线。</w:t>
      </w:r>
    </w:p>
    <w:p w14:paraId="02974DD9" w14:textId="77777777" w:rsidR="003A7429" w:rsidRDefault="003A7429" w:rsidP="003A7429">
      <w:pPr>
        <w:pStyle w:val="2"/>
      </w:pPr>
      <w:r>
        <w:t>六、 挑战、启示与展望</w:t>
      </w:r>
    </w:p>
    <w:p w14:paraId="01921D02" w14:textId="77777777" w:rsidR="003A7429" w:rsidRDefault="003A7429" w:rsidP="003A7429">
      <w:pPr>
        <w:pStyle w:val="3"/>
      </w:pPr>
      <w:r>
        <w:lastRenderedPageBreak/>
        <w:t>（一）未来监管面临的挑战</w:t>
      </w:r>
    </w:p>
    <w:p w14:paraId="5D6F786B" w14:textId="77777777" w:rsidR="003A7429" w:rsidRDefault="003A7429" w:rsidP="003A7429">
      <w:pPr>
        <w:pStyle w:val="a3"/>
      </w:pPr>
      <w:r>
        <w:t>在推进数字治理的过程中，我们仍需警惕潜在的法制风险与现实挑战：</w:t>
      </w:r>
    </w:p>
    <w:p w14:paraId="186B9588" w14:textId="18B32ECE" w:rsidR="003A7429" w:rsidRDefault="003A7429" w:rsidP="003A7429">
      <w:pPr>
        <w:pStyle w:val="a3"/>
        <w:numPr>
          <w:ilvl w:val="0"/>
          <w:numId w:val="9"/>
        </w:numPr>
      </w:pPr>
      <w:r>
        <w:rPr>
          <w:b/>
          <w:bCs/>
        </w:rPr>
        <w:t>“算法黑箱”与行政救济</w:t>
      </w:r>
      <w:r>
        <w:t>：当自动化系统错误拦截合规商家的交易时，如何保障行政相对人的申诉与救济渠道。</w:t>
      </w:r>
    </w:p>
    <w:p w14:paraId="72544205" w14:textId="77777777" w:rsidR="003A7429" w:rsidRDefault="003A7429" w:rsidP="003A7429">
      <w:pPr>
        <w:pStyle w:val="a3"/>
        <w:numPr>
          <w:ilvl w:val="0"/>
          <w:numId w:val="9"/>
        </w:numPr>
      </w:pPr>
      <w:r>
        <w:rPr>
          <w:b/>
          <w:bCs/>
        </w:rPr>
        <w:t>发展不平衡</w:t>
      </w:r>
      <w:r>
        <w:t>：中西部偏远乡镇在推行电子检疫系统与智能终端时，可能因基础设施落后而产生新的“监管鸿沟”。</w:t>
      </w:r>
    </w:p>
    <w:p w14:paraId="25759BD3" w14:textId="77777777" w:rsidR="003A7429" w:rsidRDefault="003A7429" w:rsidP="003A7429">
      <w:pPr>
        <w:pStyle w:val="3"/>
      </w:pPr>
      <w:r>
        <w:t>（二）启示与展望</w:t>
      </w:r>
    </w:p>
    <w:p w14:paraId="2BE7B79C" w14:textId="77777777" w:rsidR="003A7429" w:rsidRDefault="003A7429" w:rsidP="003A7429">
      <w:pPr>
        <w:pStyle w:val="a3"/>
      </w:pPr>
      <w:r>
        <w:t>网络宠物交易暴露出的乱象，是对传统动物卫生法制体系的一次极限压力测试。它给我们的深刻启示在于：在数字经济时代，动物卫生法制建设绝不能固步自封于农场与屠宰场的围墙之内。</w:t>
      </w:r>
    </w:p>
    <w:p w14:paraId="737B99DC" w14:textId="77777777" w:rsidR="003A7429" w:rsidRDefault="003A7429" w:rsidP="003A7429">
      <w:pPr>
        <w:pStyle w:val="a3"/>
      </w:pPr>
      <w:r>
        <w:t>未来，动物卫生监管的演进方向必然是构建“繁育—检疫—网络销售—运输—终端消费”全数据链条的智慧防控体系。只有将《动物防疫法》的刚性约束力无缝嵌入电子商务与现代物流的代码与流程中，才能在保护公共卫生安全与促进新型宠物产业发展之间，找到真正的法治平衡。</w:t>
      </w:r>
    </w:p>
    <w:p w14:paraId="416B4D98" w14:textId="7A46C0AC" w:rsidR="00C90ACC" w:rsidRPr="003A7429" w:rsidRDefault="00C90ACC" w:rsidP="003A7429"/>
    <w:sectPr w:rsidR="00C90ACC" w:rsidRPr="003A742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502A7"/>
    <w:multiLevelType w:val="multilevel"/>
    <w:tmpl w:val="CC7C2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6D57FD"/>
    <w:multiLevelType w:val="multilevel"/>
    <w:tmpl w:val="A9DA9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3B797C"/>
    <w:multiLevelType w:val="multilevel"/>
    <w:tmpl w:val="DCE6E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A8B036B"/>
    <w:multiLevelType w:val="multilevel"/>
    <w:tmpl w:val="A9326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DFE60D5"/>
    <w:multiLevelType w:val="multilevel"/>
    <w:tmpl w:val="4BF2E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4AA219A"/>
    <w:multiLevelType w:val="hybridMultilevel"/>
    <w:tmpl w:val="9C947E2A"/>
    <w:lvl w:ilvl="0" w:tplc="F7F037AE">
      <w:start w:val="1"/>
      <w:numFmt w:val="japaneseCounting"/>
      <w:lvlText w:val="（%1）"/>
      <w:lvlJc w:val="left"/>
      <w:pPr>
        <w:ind w:left="852" w:hanging="852"/>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66AE61F6"/>
    <w:multiLevelType w:val="multilevel"/>
    <w:tmpl w:val="F1B2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C25EBA"/>
    <w:multiLevelType w:val="multilevel"/>
    <w:tmpl w:val="93C2E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9A6C0D"/>
    <w:multiLevelType w:val="multilevel"/>
    <w:tmpl w:val="D5FE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FE2BAF"/>
    <w:multiLevelType w:val="multilevel"/>
    <w:tmpl w:val="01963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4"/>
  </w:num>
  <w:num w:numId="4">
    <w:abstractNumId w:val="2"/>
  </w:num>
  <w:num w:numId="5">
    <w:abstractNumId w:val="8"/>
  </w:num>
  <w:num w:numId="6">
    <w:abstractNumId w:val="3"/>
  </w:num>
  <w:num w:numId="7">
    <w:abstractNumId w:val="9"/>
  </w:num>
  <w:num w:numId="8">
    <w:abstractNumId w:val="0"/>
  </w:num>
  <w:num w:numId="9">
    <w:abstractNumId w:val="6"/>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DF8"/>
    <w:rsid w:val="00007187"/>
    <w:rsid w:val="000242DF"/>
    <w:rsid w:val="000544DD"/>
    <w:rsid w:val="000B4ECE"/>
    <w:rsid w:val="0012046F"/>
    <w:rsid w:val="001534DE"/>
    <w:rsid w:val="00163B9D"/>
    <w:rsid w:val="001F5649"/>
    <w:rsid w:val="001F7246"/>
    <w:rsid w:val="00252DF8"/>
    <w:rsid w:val="00272591"/>
    <w:rsid w:val="002C03AA"/>
    <w:rsid w:val="002D66B8"/>
    <w:rsid w:val="003A7429"/>
    <w:rsid w:val="003B631F"/>
    <w:rsid w:val="003F6F06"/>
    <w:rsid w:val="004B13A2"/>
    <w:rsid w:val="00510814"/>
    <w:rsid w:val="005D5D6F"/>
    <w:rsid w:val="00620E8B"/>
    <w:rsid w:val="006842BA"/>
    <w:rsid w:val="006B07C8"/>
    <w:rsid w:val="006C7ADB"/>
    <w:rsid w:val="00712745"/>
    <w:rsid w:val="00733564"/>
    <w:rsid w:val="007A55D1"/>
    <w:rsid w:val="007A750D"/>
    <w:rsid w:val="007D7575"/>
    <w:rsid w:val="007E69F8"/>
    <w:rsid w:val="00890D6D"/>
    <w:rsid w:val="008F5238"/>
    <w:rsid w:val="009E65AF"/>
    <w:rsid w:val="00A3023E"/>
    <w:rsid w:val="00A4131C"/>
    <w:rsid w:val="00A6086B"/>
    <w:rsid w:val="00A62C8E"/>
    <w:rsid w:val="00A910DD"/>
    <w:rsid w:val="00B803E2"/>
    <w:rsid w:val="00B87EC7"/>
    <w:rsid w:val="00BA2FCB"/>
    <w:rsid w:val="00BB412C"/>
    <w:rsid w:val="00C215F1"/>
    <w:rsid w:val="00C26267"/>
    <w:rsid w:val="00C84679"/>
    <w:rsid w:val="00C90ACC"/>
    <w:rsid w:val="00CC721B"/>
    <w:rsid w:val="00CC7D87"/>
    <w:rsid w:val="00DB6D99"/>
    <w:rsid w:val="00DF3276"/>
    <w:rsid w:val="00E137E9"/>
    <w:rsid w:val="00EB335A"/>
    <w:rsid w:val="00EC2498"/>
    <w:rsid w:val="00ED7811"/>
    <w:rsid w:val="00F02F79"/>
    <w:rsid w:val="00F40642"/>
    <w:rsid w:val="00FB6CC3"/>
    <w:rsid w:val="00FE31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727DE"/>
  <w15:chartTrackingRefBased/>
  <w15:docId w15:val="{D97AB5C7-C476-4B69-A5E9-9D883955A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link w:val="20"/>
    <w:uiPriority w:val="9"/>
    <w:qFormat/>
    <w:rsid w:val="00FB6CC3"/>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FB6CC3"/>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1F7246"/>
    <w:pPr>
      <w:widowControl/>
      <w:spacing w:before="100" w:beforeAutospacing="1" w:after="100" w:afterAutospacing="1"/>
      <w:jc w:val="left"/>
    </w:pPr>
    <w:rPr>
      <w:rFonts w:ascii="宋体" w:eastAsia="宋体" w:hAnsi="宋体" w:cs="宋体"/>
      <w:kern w:val="0"/>
      <w:sz w:val="24"/>
      <w:szCs w:val="24"/>
    </w:rPr>
  </w:style>
  <w:style w:type="character" w:customStyle="1" w:styleId="20">
    <w:name w:val="标题 2 字符"/>
    <w:basedOn w:val="a0"/>
    <w:link w:val="2"/>
    <w:uiPriority w:val="9"/>
    <w:rsid w:val="00FB6CC3"/>
    <w:rPr>
      <w:rFonts w:ascii="宋体" w:eastAsia="宋体" w:hAnsi="宋体" w:cs="宋体"/>
      <w:b/>
      <w:bCs/>
      <w:kern w:val="0"/>
      <w:sz w:val="36"/>
      <w:szCs w:val="36"/>
    </w:rPr>
  </w:style>
  <w:style w:type="character" w:customStyle="1" w:styleId="30">
    <w:name w:val="标题 3 字符"/>
    <w:basedOn w:val="a0"/>
    <w:link w:val="3"/>
    <w:uiPriority w:val="9"/>
    <w:rsid w:val="00FB6CC3"/>
    <w:rPr>
      <w:rFonts w:ascii="宋体" w:eastAsia="宋体" w:hAnsi="宋体" w:cs="宋体"/>
      <w:b/>
      <w:bCs/>
      <w:kern w:val="0"/>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591861">
      <w:bodyDiv w:val="1"/>
      <w:marLeft w:val="0"/>
      <w:marRight w:val="0"/>
      <w:marTop w:val="0"/>
      <w:marBottom w:val="0"/>
      <w:divBdr>
        <w:top w:val="none" w:sz="0" w:space="0" w:color="auto"/>
        <w:left w:val="none" w:sz="0" w:space="0" w:color="auto"/>
        <w:bottom w:val="none" w:sz="0" w:space="0" w:color="auto"/>
        <w:right w:val="none" w:sz="0" w:space="0" w:color="auto"/>
      </w:divBdr>
    </w:div>
    <w:div w:id="238945942">
      <w:bodyDiv w:val="1"/>
      <w:marLeft w:val="0"/>
      <w:marRight w:val="0"/>
      <w:marTop w:val="0"/>
      <w:marBottom w:val="0"/>
      <w:divBdr>
        <w:top w:val="none" w:sz="0" w:space="0" w:color="auto"/>
        <w:left w:val="none" w:sz="0" w:space="0" w:color="auto"/>
        <w:bottom w:val="none" w:sz="0" w:space="0" w:color="auto"/>
        <w:right w:val="none" w:sz="0" w:space="0" w:color="auto"/>
      </w:divBdr>
    </w:div>
    <w:div w:id="725445799">
      <w:bodyDiv w:val="1"/>
      <w:marLeft w:val="0"/>
      <w:marRight w:val="0"/>
      <w:marTop w:val="0"/>
      <w:marBottom w:val="0"/>
      <w:divBdr>
        <w:top w:val="none" w:sz="0" w:space="0" w:color="auto"/>
        <w:left w:val="none" w:sz="0" w:space="0" w:color="auto"/>
        <w:bottom w:val="none" w:sz="0" w:space="0" w:color="auto"/>
        <w:right w:val="none" w:sz="0" w:space="0" w:color="auto"/>
      </w:divBdr>
    </w:div>
    <w:div w:id="1055853875">
      <w:bodyDiv w:val="1"/>
      <w:marLeft w:val="0"/>
      <w:marRight w:val="0"/>
      <w:marTop w:val="0"/>
      <w:marBottom w:val="0"/>
      <w:divBdr>
        <w:top w:val="none" w:sz="0" w:space="0" w:color="auto"/>
        <w:left w:val="none" w:sz="0" w:space="0" w:color="auto"/>
        <w:bottom w:val="none" w:sz="0" w:space="0" w:color="auto"/>
        <w:right w:val="none" w:sz="0" w:space="0" w:color="auto"/>
      </w:divBdr>
    </w:div>
    <w:div w:id="1496721687">
      <w:bodyDiv w:val="1"/>
      <w:marLeft w:val="0"/>
      <w:marRight w:val="0"/>
      <w:marTop w:val="0"/>
      <w:marBottom w:val="0"/>
      <w:divBdr>
        <w:top w:val="none" w:sz="0" w:space="0" w:color="auto"/>
        <w:left w:val="none" w:sz="0" w:space="0" w:color="auto"/>
        <w:bottom w:val="none" w:sz="0" w:space="0" w:color="auto"/>
        <w:right w:val="none" w:sz="0" w:space="0" w:color="auto"/>
      </w:divBdr>
    </w:div>
    <w:div w:id="1551266988">
      <w:bodyDiv w:val="1"/>
      <w:marLeft w:val="0"/>
      <w:marRight w:val="0"/>
      <w:marTop w:val="0"/>
      <w:marBottom w:val="0"/>
      <w:divBdr>
        <w:top w:val="none" w:sz="0" w:space="0" w:color="auto"/>
        <w:left w:val="none" w:sz="0" w:space="0" w:color="auto"/>
        <w:bottom w:val="none" w:sz="0" w:space="0" w:color="auto"/>
        <w:right w:val="none" w:sz="0" w:space="0" w:color="auto"/>
      </w:divBdr>
    </w:div>
    <w:div w:id="1560048510">
      <w:bodyDiv w:val="1"/>
      <w:marLeft w:val="0"/>
      <w:marRight w:val="0"/>
      <w:marTop w:val="0"/>
      <w:marBottom w:val="0"/>
      <w:divBdr>
        <w:top w:val="none" w:sz="0" w:space="0" w:color="auto"/>
        <w:left w:val="none" w:sz="0" w:space="0" w:color="auto"/>
        <w:bottom w:val="none" w:sz="0" w:space="0" w:color="auto"/>
        <w:right w:val="none" w:sz="0" w:space="0" w:color="auto"/>
      </w:divBdr>
    </w:div>
    <w:div w:id="1786462500">
      <w:bodyDiv w:val="1"/>
      <w:marLeft w:val="0"/>
      <w:marRight w:val="0"/>
      <w:marTop w:val="0"/>
      <w:marBottom w:val="0"/>
      <w:divBdr>
        <w:top w:val="none" w:sz="0" w:space="0" w:color="auto"/>
        <w:left w:val="none" w:sz="0" w:space="0" w:color="auto"/>
        <w:bottom w:val="none" w:sz="0" w:space="0" w:color="auto"/>
        <w:right w:val="none" w:sz="0" w:space="0" w:color="auto"/>
      </w:divBdr>
    </w:div>
    <w:div w:id="1796866897">
      <w:bodyDiv w:val="1"/>
      <w:marLeft w:val="0"/>
      <w:marRight w:val="0"/>
      <w:marTop w:val="0"/>
      <w:marBottom w:val="0"/>
      <w:divBdr>
        <w:top w:val="none" w:sz="0" w:space="0" w:color="auto"/>
        <w:left w:val="none" w:sz="0" w:space="0" w:color="auto"/>
        <w:bottom w:val="none" w:sz="0" w:space="0" w:color="auto"/>
        <w:right w:val="none" w:sz="0" w:space="0" w:color="auto"/>
      </w:divBdr>
    </w:div>
    <w:div w:id="194460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352</TotalTime>
  <Pages>5</Pages>
  <Words>628</Words>
  <Characters>3584</Characters>
  <Application>Microsoft Office Word</Application>
  <DocSecurity>0</DocSecurity>
  <Lines>29</Lines>
  <Paragraphs>8</Paragraphs>
  <ScaleCrop>false</ScaleCrop>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启蒙 吕</dc:creator>
  <cp:keywords/>
  <dc:description/>
  <cp:lastModifiedBy>启蒙 吕</cp:lastModifiedBy>
  <cp:revision>49</cp:revision>
  <dcterms:created xsi:type="dcterms:W3CDTF">2026-06-15T10:40:00Z</dcterms:created>
  <dcterms:modified xsi:type="dcterms:W3CDTF">2026-06-17T14:08:00Z</dcterms:modified>
</cp:coreProperties>
</file>