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E5699" w14:textId="7C00D8CF" w:rsidR="00D1525C" w:rsidRDefault="00140029">
      <w:pPr>
        <w:rPr>
          <w:rFonts w:ascii="黑体" w:eastAsia="黑体" w:hAnsi="黑体"/>
          <w:b/>
          <w:bCs/>
          <w:sz w:val="32"/>
          <w:szCs w:val="36"/>
        </w:rPr>
      </w:pPr>
      <w:r w:rsidRPr="00140029">
        <w:rPr>
          <w:rFonts w:ascii="黑体" w:eastAsia="黑体" w:hAnsi="黑体" w:hint="eastAsia"/>
          <w:b/>
          <w:bCs/>
          <w:sz w:val="32"/>
          <w:szCs w:val="36"/>
        </w:rPr>
        <w:t>附件</w:t>
      </w:r>
    </w:p>
    <w:p w14:paraId="478A704A" w14:textId="4D170457" w:rsidR="00140029" w:rsidRDefault="00104145">
      <w:pPr>
        <w:rPr>
          <w:rFonts w:ascii="黑体" w:eastAsia="黑体" w:hAnsi="黑体"/>
          <w:b/>
          <w:bCs/>
          <w:sz w:val="32"/>
          <w:szCs w:val="36"/>
        </w:rPr>
      </w:pPr>
      <w:r>
        <w:rPr>
          <w:rFonts w:ascii="黑体" w:eastAsia="黑体" w:hAnsi="黑体"/>
          <w:b/>
          <w:bCs/>
          <w:noProof/>
          <w:sz w:val="32"/>
          <w:szCs w:val="36"/>
        </w:rPr>
        <w:drawing>
          <wp:inline distT="0" distB="0" distL="0" distR="0" wp14:anchorId="7789CF22" wp14:editId="11220908">
            <wp:extent cx="5286375" cy="2705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4F35" w14:textId="6D584FD3" w:rsidR="00104145" w:rsidRPr="00B53276" w:rsidRDefault="00104145" w:rsidP="00104145">
      <w:pPr>
        <w:rPr>
          <w:rFonts w:ascii="思源宋体" w:eastAsia="思源宋体" w:hAnsi="思源宋体" w:hint="eastAsia"/>
          <w:sz w:val="15"/>
          <w:szCs w:val="16"/>
        </w:rPr>
      </w:pPr>
      <w:r w:rsidRPr="00B53276">
        <w:rPr>
          <w:rFonts w:ascii="思源宋体" w:eastAsia="思源宋体" w:hAnsi="思源宋体"/>
          <w:sz w:val="15"/>
          <w:szCs w:val="16"/>
        </w:rPr>
        <w:t>(A) 组别 A（12号样本）：培养基上方（十二指肠接种区）可见明显的菌落生长，且该区域培养基受细菌代谢影响发生色变（酚红指示剂变红），提示局部存在活跃的病原菌定植与代谢活动。右下角放大图（Inset）详细展示了该区域致密的菌苔形态</w:t>
      </w:r>
      <w:r w:rsidR="008D1865" w:rsidRPr="00B53276">
        <w:rPr>
          <w:rFonts w:ascii="思源宋体" w:eastAsia="思源宋体" w:hAnsi="思源宋体"/>
          <w:sz w:val="15"/>
          <w:szCs w:val="16"/>
        </w:rPr>
        <w:t xml:space="preserve">; </w:t>
      </w:r>
      <w:r w:rsidRPr="00B53276">
        <w:rPr>
          <w:rFonts w:ascii="思源宋体" w:eastAsia="思源宋体" w:hAnsi="思源宋体"/>
          <w:sz w:val="15"/>
          <w:szCs w:val="16"/>
        </w:rPr>
        <w:t>(B) PO 感染组（全身性感染）：展示了口服接种后的全身性扩散结果。在六个主要脏器接种区（肠、肺、心、肝、脾、肾）均广泛分布着典型的沙门氏菌菌落（淡黄色、表面光滑、边缘整齐）。该结果表明病原菌已成功突破肠道屏障，随血液循环系统性地定植于全身各实质脏器，成功建立败血症模型。</w:t>
      </w:r>
    </w:p>
    <w:sectPr w:rsidR="00104145" w:rsidRPr="00B53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C1"/>
    <w:rsid w:val="00104145"/>
    <w:rsid w:val="00140029"/>
    <w:rsid w:val="00353197"/>
    <w:rsid w:val="008D1865"/>
    <w:rsid w:val="00B53276"/>
    <w:rsid w:val="00D1525C"/>
    <w:rsid w:val="00EC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5103"/>
  <w15:chartTrackingRefBased/>
  <w15:docId w15:val="{D4B44547-CE25-438D-AA15-818A547F4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5</cp:revision>
  <dcterms:created xsi:type="dcterms:W3CDTF">2026-05-22T11:54:00Z</dcterms:created>
  <dcterms:modified xsi:type="dcterms:W3CDTF">2026-05-22T14:35:00Z</dcterms:modified>
</cp:coreProperties>
</file>