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1FC2C" w14:textId="2DFB4CD8" w:rsidR="00077D95" w:rsidRDefault="00EA6E60">
      <w:pPr>
        <w:rPr>
          <w:rFonts w:ascii="黑体" w:eastAsia="黑体" w:hAnsi="黑体"/>
          <w:b/>
          <w:bCs/>
          <w:sz w:val="32"/>
          <w:szCs w:val="36"/>
        </w:rPr>
      </w:pPr>
      <w:r w:rsidRPr="00EA6E60">
        <w:rPr>
          <w:rFonts w:ascii="黑体" w:eastAsia="黑体" w:hAnsi="黑体" w:hint="eastAsia"/>
          <w:b/>
          <w:bCs/>
          <w:sz w:val="32"/>
          <w:szCs w:val="36"/>
        </w:rPr>
        <w:t>附件</w:t>
      </w:r>
    </w:p>
    <w:p w14:paraId="1CBFCB78" w14:textId="26515D61" w:rsidR="00EA6E60" w:rsidRDefault="00EA6E60">
      <w:pPr>
        <w:rPr>
          <w:rFonts w:ascii="黑体" w:eastAsia="黑体" w:hAnsi="黑体"/>
          <w:b/>
          <w:bCs/>
          <w:sz w:val="32"/>
          <w:szCs w:val="36"/>
        </w:rPr>
      </w:pPr>
      <w:r>
        <w:rPr>
          <w:rFonts w:ascii="黑体" w:eastAsia="黑体" w:hAnsi="黑体"/>
          <w:b/>
          <w:bCs/>
          <w:noProof/>
          <w:sz w:val="32"/>
          <w:szCs w:val="36"/>
        </w:rPr>
        <w:drawing>
          <wp:inline distT="0" distB="0" distL="0" distR="0" wp14:anchorId="529926A7" wp14:editId="7C7B986B">
            <wp:extent cx="5273040" cy="591312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80E09" w14:textId="430A0E1C" w:rsidR="00EA6E60" w:rsidRPr="00AA7F97" w:rsidRDefault="008A487B" w:rsidP="008A487B">
      <w:pPr>
        <w:rPr>
          <w:rFonts w:ascii="思源宋体" w:eastAsia="思源宋体" w:hAnsi="思源宋体" w:hint="eastAsia"/>
          <w:sz w:val="13"/>
          <w:szCs w:val="15"/>
        </w:rPr>
      </w:pPr>
      <w:r w:rsidRPr="00AA7F97">
        <w:rPr>
          <w:rFonts w:ascii="思源宋体" w:eastAsia="思源宋体" w:hAnsi="思源宋体"/>
          <w:sz w:val="13"/>
          <w:szCs w:val="15"/>
        </w:rPr>
        <w:t>(A) 口服（PO）感染组的存活率分析： 记录了对照组（Control, n=3）以及低、中、高三种剂量口服感染组（</w:t>
      </w:r>
      <w:proofErr w:type="spellStart"/>
      <w:r w:rsidRPr="00AA7F97">
        <w:rPr>
          <w:rFonts w:ascii="思源宋体" w:eastAsia="思源宋体" w:hAnsi="思源宋体"/>
          <w:sz w:val="13"/>
          <w:szCs w:val="15"/>
        </w:rPr>
        <w:t>PO_low</w:t>
      </w:r>
      <w:proofErr w:type="spellEnd"/>
      <w:r w:rsidRPr="00AA7F97">
        <w:rPr>
          <w:rFonts w:ascii="思源宋体" w:eastAsia="思源宋体" w:hAnsi="思源宋体"/>
          <w:sz w:val="13"/>
          <w:szCs w:val="15"/>
        </w:rPr>
        <w:t xml:space="preserve">, </w:t>
      </w:r>
      <w:proofErr w:type="spellStart"/>
      <w:r w:rsidRPr="00AA7F97">
        <w:rPr>
          <w:rFonts w:ascii="思源宋体" w:eastAsia="思源宋体" w:hAnsi="思源宋体"/>
          <w:sz w:val="13"/>
          <w:szCs w:val="15"/>
        </w:rPr>
        <w:t>PO_medium,PO_high</w:t>
      </w:r>
      <w:proofErr w:type="spellEnd"/>
      <w:r w:rsidRPr="00AA7F97">
        <w:rPr>
          <w:rFonts w:ascii="思源宋体" w:eastAsia="思源宋体" w:hAnsi="思源宋体"/>
          <w:sz w:val="13"/>
          <w:szCs w:val="15"/>
        </w:rPr>
        <w:t>，每组 n=4）在 4 天内的存活情况。结果显示，口服感染途径下各组雏鸡整体存活率较高</w:t>
      </w:r>
      <w:r w:rsidR="00AA7F97" w:rsidRPr="00AA7F97">
        <w:rPr>
          <w:rFonts w:ascii="思源宋体" w:eastAsia="思源宋体" w:hAnsi="思源宋体" w:hint="eastAsia"/>
          <w:sz w:val="13"/>
          <w:szCs w:val="15"/>
        </w:rPr>
        <w:t>;</w:t>
      </w:r>
      <w:r w:rsidR="00AA7F97" w:rsidRPr="00AA7F97">
        <w:rPr>
          <w:rFonts w:ascii="思源宋体" w:eastAsia="思源宋体" w:hAnsi="思源宋体"/>
          <w:sz w:val="13"/>
          <w:szCs w:val="15"/>
        </w:rPr>
        <w:t xml:space="preserve"> </w:t>
      </w:r>
      <w:r w:rsidRPr="00AA7F97">
        <w:rPr>
          <w:rFonts w:ascii="思源宋体" w:eastAsia="思源宋体" w:hAnsi="思源宋体"/>
          <w:sz w:val="13"/>
          <w:szCs w:val="15"/>
        </w:rPr>
        <w:t>(B) 腹腔注射（IP）感染组的存活率分析： 记录了对照组（Control, n=4）以及低、中、高三种剂量腹腔注射组（</w:t>
      </w:r>
      <w:proofErr w:type="spellStart"/>
      <w:r w:rsidRPr="00AA7F97">
        <w:rPr>
          <w:rFonts w:ascii="思源宋体" w:eastAsia="思源宋体" w:hAnsi="思源宋体"/>
          <w:sz w:val="13"/>
          <w:szCs w:val="15"/>
        </w:rPr>
        <w:t>IP_low,IP_medium</w:t>
      </w:r>
      <w:proofErr w:type="spellEnd"/>
      <w:r w:rsidRPr="00AA7F97">
        <w:rPr>
          <w:rFonts w:ascii="思源宋体" w:eastAsia="思源宋体" w:hAnsi="思源宋体"/>
          <w:sz w:val="13"/>
          <w:szCs w:val="15"/>
        </w:rPr>
        <w:t xml:space="preserve">, </w:t>
      </w:r>
      <w:proofErr w:type="spellStart"/>
      <w:r w:rsidRPr="00AA7F97">
        <w:rPr>
          <w:rFonts w:ascii="思源宋体" w:eastAsia="思源宋体" w:hAnsi="思源宋体"/>
          <w:sz w:val="13"/>
          <w:szCs w:val="15"/>
        </w:rPr>
        <w:t>IP_high</w:t>
      </w:r>
      <w:proofErr w:type="spellEnd"/>
      <w:r w:rsidRPr="00AA7F97">
        <w:rPr>
          <w:rFonts w:ascii="思源宋体" w:eastAsia="思源宋体" w:hAnsi="思源宋体"/>
          <w:sz w:val="13"/>
          <w:szCs w:val="15"/>
        </w:rPr>
        <w:t>，每组 n=4）在 4 天内的存活情况。高剂量注射组（</w:t>
      </w:r>
      <w:proofErr w:type="spellStart"/>
      <w:r w:rsidRPr="00AA7F97">
        <w:rPr>
          <w:rFonts w:ascii="思源宋体" w:eastAsia="思源宋体" w:hAnsi="思源宋体"/>
          <w:sz w:val="13"/>
          <w:szCs w:val="15"/>
        </w:rPr>
        <w:t>IP_high</w:t>
      </w:r>
      <w:proofErr w:type="spellEnd"/>
      <w:r w:rsidRPr="00AA7F97">
        <w:rPr>
          <w:rFonts w:ascii="思源宋体" w:eastAsia="思源宋体" w:hAnsi="思源宋体"/>
          <w:sz w:val="13"/>
          <w:szCs w:val="15"/>
        </w:rPr>
        <w:t>）雏鸡存活率在第 1天即出现断崖式下降，中剂量组（</w:t>
      </w:r>
      <w:proofErr w:type="spellStart"/>
      <w:r w:rsidRPr="00AA7F97">
        <w:rPr>
          <w:rFonts w:ascii="思源宋体" w:eastAsia="思源宋体" w:hAnsi="思源宋体"/>
          <w:sz w:val="13"/>
          <w:szCs w:val="15"/>
        </w:rPr>
        <w:t>IP_medium</w:t>
      </w:r>
      <w:proofErr w:type="spellEnd"/>
      <w:r w:rsidRPr="00AA7F97">
        <w:rPr>
          <w:rFonts w:ascii="思源宋体" w:eastAsia="思源宋体" w:hAnsi="思源宋体"/>
          <w:sz w:val="13"/>
          <w:szCs w:val="15"/>
        </w:rPr>
        <w:t>）在第 3 天开始出现明显死亡，表明腹腔注射途径具有更高的急性致死性</w:t>
      </w:r>
      <w:r w:rsidR="00AA7F97" w:rsidRPr="00AA7F97">
        <w:rPr>
          <w:rFonts w:ascii="思源宋体" w:eastAsia="思源宋体" w:hAnsi="思源宋体" w:hint="eastAsia"/>
          <w:sz w:val="13"/>
          <w:szCs w:val="15"/>
        </w:rPr>
        <w:t>;</w:t>
      </w:r>
      <w:r w:rsidR="00AA7F97" w:rsidRPr="00AA7F97">
        <w:rPr>
          <w:rFonts w:ascii="思源宋体" w:eastAsia="思源宋体" w:hAnsi="思源宋体"/>
          <w:sz w:val="13"/>
          <w:szCs w:val="15"/>
        </w:rPr>
        <w:t xml:space="preserve"> </w:t>
      </w:r>
      <w:r w:rsidRPr="00AA7F97">
        <w:rPr>
          <w:rFonts w:ascii="思源宋体" w:eastAsia="思源宋体" w:hAnsi="思源宋体"/>
          <w:sz w:val="13"/>
          <w:szCs w:val="15"/>
        </w:rPr>
        <w:t>(C) 对照组（CRL）与口服组（PO）临床症状的纵向病理进展： 展示了连续 4 天内雏鸡外观及精神状态的变化。对照组（CRL）雏鸡在4天内均保持羽毛平整、精神状态良好；而口服感染组（PO）雏鸡随着时间推移，逐渐表现出精神沉郁、羽毛松乱、闭眼缩颈等典型的临床病理特征，并在第 4 天出现死亡个体。</w:t>
      </w:r>
    </w:p>
    <w:sectPr w:rsidR="00EA6E60" w:rsidRPr="00AA7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CA"/>
    <w:rsid w:val="00077D95"/>
    <w:rsid w:val="007315CA"/>
    <w:rsid w:val="008A487B"/>
    <w:rsid w:val="00AA7F97"/>
    <w:rsid w:val="00EA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CC1A"/>
  <w15:chartTrackingRefBased/>
  <w15:docId w15:val="{6A9AD19F-2AC1-4CF6-A8C7-78914E67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启蒙 吕</dc:creator>
  <cp:keywords/>
  <dc:description/>
  <cp:lastModifiedBy>启蒙 吕</cp:lastModifiedBy>
  <cp:revision>2</cp:revision>
  <dcterms:created xsi:type="dcterms:W3CDTF">2026-05-22T11:16:00Z</dcterms:created>
  <dcterms:modified xsi:type="dcterms:W3CDTF">2026-05-22T11:54:00Z</dcterms:modified>
</cp:coreProperties>
</file>