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DA3BD" w14:textId="25E2F593" w:rsidR="00B572E4" w:rsidRPr="00B572E4" w:rsidRDefault="00B572E4">
      <w:pPr>
        <w:rPr>
          <w:rFonts w:ascii="黑体" w:eastAsia="黑体" w:hAnsi="黑体"/>
          <w:b/>
          <w:bCs/>
          <w:sz w:val="32"/>
          <w:szCs w:val="36"/>
        </w:rPr>
      </w:pPr>
      <w:r w:rsidRPr="00B572E4">
        <w:rPr>
          <w:rFonts w:ascii="黑体" w:eastAsia="黑体" w:hAnsi="黑体" w:hint="eastAsia"/>
          <w:b/>
          <w:bCs/>
          <w:sz w:val="32"/>
          <w:szCs w:val="36"/>
        </w:rPr>
        <w:t>附件</w:t>
      </w:r>
    </w:p>
    <w:p w14:paraId="1A84CB81" w14:textId="77777777" w:rsidR="00B572E4" w:rsidRDefault="00B572E4" w:rsidP="00B572E4">
      <w:r>
        <w:rPr>
          <w:rFonts w:hint="eastAsia"/>
          <w:noProof/>
        </w:rPr>
        <w:drawing>
          <wp:inline distT="0" distB="0" distL="0" distR="0" wp14:anchorId="7B70124E" wp14:editId="4ECD4B34">
            <wp:extent cx="5273040" cy="3383280"/>
            <wp:effectExtent l="0" t="0" r="381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3040" cy="3383280"/>
                    </a:xfrm>
                    <a:prstGeom prst="rect">
                      <a:avLst/>
                    </a:prstGeom>
                    <a:noFill/>
                    <a:ln>
                      <a:noFill/>
                    </a:ln>
                  </pic:spPr>
                </pic:pic>
              </a:graphicData>
            </a:graphic>
          </wp:inline>
        </w:drawing>
      </w:r>
    </w:p>
    <w:p w14:paraId="54F11B67" w14:textId="3E032A91" w:rsidR="00B572E4" w:rsidRPr="00B572E4" w:rsidRDefault="00B572E4" w:rsidP="00B572E4">
      <w:pPr>
        <w:rPr>
          <w:rFonts w:ascii="思源宋体" w:eastAsia="思源宋体" w:hAnsi="思源宋体" w:hint="eastAsia"/>
        </w:rPr>
      </w:pPr>
      <w:r w:rsidRPr="00B572E4">
        <w:rPr>
          <w:rFonts w:ascii="思源宋体" w:eastAsia="思源宋体" w:hAnsi="思源宋体"/>
          <w:sz w:val="15"/>
          <w:szCs w:val="16"/>
        </w:rPr>
        <w:t>(a) 病毒血凝试验（HA）： 用于测定待测病毒液的生物学活性。1-10 孔可见红细胞在孔底呈弥散状的网状凝集（阳性），11-12孔红细胞沉降并形成致密的红点状按钮（阴性）。实验结果表明，该病毒液的 HA 效价为 2¹</w:t>
      </w:r>
      <w:r w:rsidRPr="00B572E4">
        <w:rPr>
          <w:rFonts w:ascii="MS Gothic" w:eastAsia="MS Gothic" w:hAnsi="MS Gothic" w:cs="MS Gothic" w:hint="eastAsia"/>
          <w:sz w:val="15"/>
          <w:szCs w:val="16"/>
        </w:rPr>
        <w:t>⁰</w:t>
      </w:r>
      <w:r w:rsidRPr="00B572E4">
        <w:rPr>
          <w:rFonts w:ascii="思源宋体" w:eastAsia="思源宋体" w:hAnsi="思源宋体"/>
          <w:sz w:val="15"/>
          <w:szCs w:val="16"/>
        </w:rPr>
        <w:t>（10 log</w:t>
      </w:r>
      <w:r w:rsidRPr="00B572E4">
        <w:rPr>
          <w:rFonts w:ascii="Times New Roman" w:eastAsia="思源宋体" w:hAnsi="Times New Roman" w:cs="Times New Roman"/>
          <w:sz w:val="15"/>
          <w:szCs w:val="16"/>
        </w:rPr>
        <w:t>₂</w:t>
      </w:r>
      <w:r w:rsidRPr="00B572E4">
        <w:rPr>
          <w:rFonts w:ascii="思源宋体" w:eastAsia="思源宋体" w:hAnsi="思源宋体"/>
          <w:sz w:val="15"/>
          <w:szCs w:val="16"/>
        </w:rPr>
        <w:t>）</w:t>
      </w:r>
      <w:r w:rsidRPr="00B572E4">
        <w:rPr>
          <w:rFonts w:ascii="思源宋体" w:eastAsia="思源宋体" w:hAnsi="思源宋体" w:hint="eastAsia"/>
          <w:sz w:val="15"/>
          <w:szCs w:val="16"/>
        </w:rPr>
        <w:t>;</w:t>
      </w:r>
      <w:r w:rsidRPr="00B572E4">
        <w:rPr>
          <w:rFonts w:ascii="思源宋体" w:eastAsia="思源宋体" w:hAnsi="思源宋体"/>
          <w:sz w:val="15"/>
          <w:szCs w:val="16"/>
        </w:rPr>
        <w:t xml:space="preserve"> </w:t>
      </w:r>
      <w:r w:rsidRPr="00B572E4">
        <w:rPr>
          <w:rFonts w:ascii="思源宋体" w:eastAsia="思源宋体" w:hAnsi="思源宋体"/>
          <w:sz w:val="15"/>
          <w:szCs w:val="16"/>
        </w:rPr>
        <w:t>(b) 血凝抑制试验（HI）：用于定量检测血清中特异性抗体的水平。图中展示了阳性血清（PB）及三组待测血清（A1-A3）的稀释梯度。阳性血清（PB）在 1-9孔表现出明显的抑制作用（红细胞不凝集，呈按钮状沉积），HI 滴度为 9 log</w:t>
      </w:r>
      <w:r w:rsidRPr="00B572E4">
        <w:rPr>
          <w:rFonts w:ascii="Times New Roman" w:eastAsia="思源宋体" w:hAnsi="Times New Roman" w:cs="Times New Roman"/>
          <w:sz w:val="15"/>
          <w:szCs w:val="16"/>
        </w:rPr>
        <w:t>₂</w:t>
      </w:r>
      <w:r w:rsidRPr="00B572E4">
        <w:rPr>
          <w:rFonts w:ascii="思源宋体" w:eastAsia="思源宋体" w:hAnsi="思源宋体"/>
          <w:sz w:val="15"/>
          <w:szCs w:val="16"/>
        </w:rPr>
        <w:t>。实验组 A2 表现出极低水平的抗体反应（滴度为2</w:t>
      </w:r>
      <w:r w:rsidRPr="00B572E4">
        <w:rPr>
          <w:rFonts w:ascii="思源宋体" w:eastAsia="思源宋体" w:hAnsi="思源宋体"/>
          <w:sz w:val="15"/>
          <w:szCs w:val="16"/>
        </w:rPr>
        <w:t xml:space="preserve"> </w:t>
      </w:r>
      <w:r w:rsidRPr="00B572E4">
        <w:rPr>
          <w:rFonts w:ascii="思源宋体" w:eastAsia="思源宋体" w:hAnsi="思源宋体"/>
          <w:sz w:val="15"/>
          <w:szCs w:val="16"/>
        </w:rPr>
        <w:t>log</w:t>
      </w:r>
      <w:r w:rsidRPr="00B572E4">
        <w:rPr>
          <w:rFonts w:ascii="Times New Roman" w:eastAsia="思源宋体" w:hAnsi="Times New Roman" w:cs="Times New Roman"/>
          <w:sz w:val="15"/>
          <w:szCs w:val="16"/>
        </w:rPr>
        <w:t>₂</w:t>
      </w:r>
      <w:r w:rsidRPr="00B572E4">
        <w:rPr>
          <w:rFonts w:ascii="思源宋体" w:eastAsia="思源宋体" w:hAnsi="思源宋体"/>
          <w:sz w:val="15"/>
          <w:szCs w:val="16"/>
        </w:rPr>
        <w:t>），而 A1 和 A3 组未检测到明显的血凝抑制作用（滴度 &lt; 2 log</w:t>
      </w:r>
      <w:r w:rsidRPr="00B572E4">
        <w:rPr>
          <w:rFonts w:ascii="Times New Roman" w:eastAsia="思源宋体" w:hAnsi="Times New Roman" w:cs="Times New Roman"/>
          <w:sz w:val="15"/>
          <w:szCs w:val="16"/>
        </w:rPr>
        <w:t>₂</w:t>
      </w:r>
      <w:r w:rsidRPr="00B572E4">
        <w:rPr>
          <w:rFonts w:ascii="思源宋体" w:eastAsia="思源宋体" w:hAnsi="思源宋体"/>
          <w:sz w:val="15"/>
          <w:szCs w:val="16"/>
        </w:rPr>
        <w:t>）</w:t>
      </w:r>
      <w:r w:rsidRPr="00B572E4">
        <w:rPr>
          <w:rFonts w:ascii="思源宋体" w:eastAsia="思源宋体" w:hAnsi="思源宋体" w:hint="eastAsia"/>
          <w:sz w:val="15"/>
          <w:szCs w:val="16"/>
        </w:rPr>
        <w:t>;</w:t>
      </w:r>
      <w:r w:rsidRPr="00B572E4">
        <w:rPr>
          <w:rFonts w:ascii="思源宋体" w:eastAsia="思源宋体" w:hAnsi="思源宋体"/>
          <w:sz w:val="15"/>
          <w:szCs w:val="16"/>
        </w:rPr>
        <w:t xml:space="preserve"> </w:t>
      </w:r>
      <w:r w:rsidRPr="00B572E4">
        <w:rPr>
          <w:rFonts w:ascii="思源宋体" w:eastAsia="思源宋体" w:hAnsi="思源宋体"/>
          <w:sz w:val="15"/>
          <w:szCs w:val="16"/>
        </w:rPr>
        <w:t>(c) 实验数据汇总表： 综合展示了经专家校准后的 HA/HI测定值。对比结果验证了实验系统的敏感度，并直观反映了不同实验组别雏鸡体内母源抗体或免疫应答水平的显著差异。</w:t>
      </w:r>
    </w:p>
    <w:sectPr w:rsidR="00B572E4" w:rsidRPr="00B572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宋体">
    <w:panose1 w:val="02020400000000000000"/>
    <w:charset w:val="86"/>
    <w:family w:val="roman"/>
    <w:notTrueType/>
    <w:pitch w:val="variable"/>
    <w:sig w:usb0="30000287" w:usb1="2BDF3C10" w:usb2="00000016" w:usb3="00000000" w:csb0="002E0107"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8A"/>
    <w:rsid w:val="0043673F"/>
    <w:rsid w:val="00810D8A"/>
    <w:rsid w:val="00B57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497D"/>
  <w15:chartTrackingRefBased/>
  <w15:docId w15:val="{CD532445-9266-49D4-AECD-B2D6ACF2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59</Words>
  <Characters>342</Characters>
  <Application>Microsoft Office Word</Application>
  <DocSecurity>0</DocSecurity>
  <Lines>2</Lines>
  <Paragraphs>1</Paragraphs>
  <ScaleCrop>false</ScaleCrop>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启蒙 吕</dc:creator>
  <cp:keywords/>
  <dc:description/>
  <cp:lastModifiedBy>启蒙 吕</cp:lastModifiedBy>
  <cp:revision>2</cp:revision>
  <dcterms:created xsi:type="dcterms:W3CDTF">2026-05-22T14:35:00Z</dcterms:created>
  <dcterms:modified xsi:type="dcterms:W3CDTF">2026-05-22T14:41:00Z</dcterms:modified>
</cp:coreProperties>
</file>