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转换测试</w:t>
      </w:r>
    </w:p>
    <w:p>
      <w:r>
        <w:t>这是一段普通正文，包含加粗内容。</w:t>
      </w:r>
    </w:p>
    <w:p>
      <w:r>
        <w:rPr>
          <w:b/>
        </w:rPr>
        <w:t>加粗片段</w:t>
      </w:r>
      <w:r>
        <w:rPr>
          <w:i/>
        </w:rPr>
        <w:t xml:space="preserve"> 和斜体片段</w:t>
      </w:r>
    </w:p>
    <w:p>
      <w:pPr>
        <w:pStyle w:val="Heading2"/>
      </w:pPr>
      <w:r>
        <w:t>二级小节</w:t>
      </w:r>
    </w:p>
    <w:p>
      <w:pPr>
        <w:pStyle w:val="ListBullet"/>
      </w:pPr>
      <w:r>
        <w:t>无序一</w:t>
      </w:r>
    </w:p>
    <w:p>
      <w:pPr>
        <w:pStyle w:val="ListBullet"/>
      </w:pPr>
      <w:r>
        <w:t>无序二</w:t>
      </w:r>
    </w:p>
    <w:p>
      <w:pPr>
        <w:pStyle w:val="ListNumber"/>
      </w:pPr>
      <w:r>
        <w:t>有序一</w:t>
      </w:r>
    </w:p>
    <w:p>
      <w:pPr>
        <w:pStyle w:val="ListNumber"/>
      </w:pPr>
      <w:r>
        <w:t>有序二</w:t>
      </w:r>
    </w:p>
    <w:p>
      <w:pPr>
        <w:pStyle w:val="Quote"/>
      </w:pPr>
      <w:r>
        <w:t>这是一段引用文字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已支持</w:t>
            </w:r>
          </w:p>
        </w:tc>
      </w:tr>
      <w:tr>
        <w:tc>
          <w:tcPr>
            <w:tcW w:type="dxa" w:w="4320"/>
          </w:tcPr>
          <w:p>
            <w:r>
              <w:t>Callout</w:t>
            </w:r>
          </w:p>
        </w:tc>
        <w:tc>
          <w:tcPr>
            <w:tcW w:type="dxa" w:w="4320"/>
          </w:tcPr>
          <w:p>
            <w:r>
              <w:t>已支持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