
<file path=[Content_Types].xml><?xml version="1.0" encoding="utf-8"?>
<Types xmlns="http://schemas.openxmlformats.org/package/2006/content-types"/>
</file>

<file path=_rels/.rels><?xml version="1.0"?><Relationships xmlns="http://schemas.openxmlformats.org/package/2006/relationships"/>
</file>

<file path=word/document.xml><?xml version="1.0" encoding="utf-8"?>
<w:document xmlns:w="http://schemas.openxmlformats.org/wordprocessingml/2006/main">
  <w:body>
    <w:p>
      <w:r>
        <w:t xml:space="preserve">SCOPE OF WORK</w:t>
      </w:r>
    </w:p>
    <w:p>
      <w:r>
        <w:t xml:space="preserve">Client: TREVOR HOWARD</w:t>
      </w:r>
    </w:p>
    <w:p>
      <w:r>
        <w:t xml:space="preserve">Site Address: 12 Kiepersol Street, Midstream Estate, 1692</w:t>
      </w:r>
    </w:p>
    <w:p>
      <w:r>
        <w:t xml:space="preserve">SUB / SOL Number: SUB-0231</w:t>
      </w:r>
    </w:p>
    <w:p>
      <w:r>
        <w:t xml:space="preserve"/>
      </w:r>
    </w:p>
    <w:p>
      <w:r>
        <w:t xml:space="preserve">The contractor shall supply and install a 8.2 kWp rooftop photovoltaic system comprising 15 x JA Solar JAM54S30-545/MR 545W monocrystalline modules mounted on a tile roof with rail-mounted brackets.</w:t>
      </w:r>
    </w:p>
    <w:p>
      <w:r>
        <w:t xml:space="preserve">Conversion is by 1 x Sungrow SH8.0RT hybrid inverter rated at 8 kW, coupled to 2 x BYD Battery-Box Premium HVS 5.1 units providing 10.2 kWh of usable storage.</w:t>
      </w:r>
    </w:p>
    <w:p>
      <w:r>
        <w:t xml:space="preserve">Monitoring shall be provided via the Sungrow iSolarCloud platform. The installation is to be commissioned and handed over by 30 June 2026.</w:t>
      </w:r>
    </w:p>
    <w:p>
      <w:r>
        <w:t xml:space="preserve">System monitoring reference: ISC-773120</w:t>
      </w:r>
    </w:p>
  </w:body>
</w:document>
</file>