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Pr="00D4537C"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 xml:space="preserve">of NIST Standard ABAC that an access decision is permitted only if the request satisfies conditions on </w:t>
      </w:r>
      <w:r w:rsidR="00E8255C">
        <w:rPr>
          <w:rFonts w:ascii="Times New Roman" w:hAnsi="Times New Roman" w:cs="Times New Roman"/>
          <w:sz w:val="24"/>
          <w:szCs w:val="24"/>
        </w:rPr>
        <w:lastRenderedPageBreak/>
        <w:t>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Pr>
          <w:rFonts w:ascii="Times New Roman" w:hAnsi="Times New Roman" w:cs="Times New Roman"/>
          <w:sz w:val="24"/>
          <w:szCs w:val="24"/>
        </w:rPr>
        <w:t>:</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Pr="00850C89"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lastRenderedPageBreak/>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w:t>
      </w:r>
    </w:p>
    <w:p w:rsidR="00D0435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3.1) case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bookmarkStart w:id="1" w:name="_GoBack"/>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bookmarkEnd w:id="1"/>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lastRenderedPageBreak/>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r w:rsidR="00CD2AC2">
        <w:rPr>
          <w:rFonts w:ascii="Times New Roman" w:hAnsi="Times New Roman" w:cs="Times New Roman"/>
          <w:sz w:val="24"/>
          <w:szCs w:val="24"/>
        </w:rPr>
        <w:t xml:space="preserve"> + Polish Notation.</w:t>
      </w: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to determine that whether the policy need attribute resource to </w:t>
            </w:r>
            <w:r>
              <w:rPr>
                <w:rFonts w:ascii="Times New Roman" w:hAnsi="Times New Roman" w:cs="Times New Roman"/>
                <w:sz w:val="24"/>
                <w:szCs w:val="24"/>
              </w:rPr>
              <w:lastRenderedPageBreak/>
              <w:t>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3626D4"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Student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"Student.personal_info.birth_date"],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"Student.personal_info.ssn"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Default="004E264E" w:rsidP="004E264E">
      <w:pPr>
        <w:pStyle w:val="ListParagraph"/>
        <w:ind w:left="1800"/>
        <w:rPr>
          <w:rFonts w:ascii="Times New Roman" w:hAnsi="Times New Roman" w:cs="Times New Roman"/>
          <w:sz w:val="24"/>
          <w:szCs w:val="24"/>
        </w:rPr>
      </w:pP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 table now.</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7D2E50"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Data</w:t>
      </w: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p>
    <w:p w:rsidR="00DC033D" w:rsidRDefault="0049065C"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49065C" w:rsidP="001B40B3">
      <w:pPr>
        <w:pStyle w:val="ListParagraph"/>
        <w:ind w:left="1080"/>
        <w:rPr>
          <w:rFonts w:ascii="Times New Roman" w:hAnsi="Times New Roman" w:cs="Times New Roman"/>
          <w:sz w:val="24"/>
          <w:szCs w:val="24"/>
        </w:rPr>
      </w:pPr>
      <w:hyperlink r:id="rId8"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7B1025" w:rsidP="001B40B3">
      <w:pPr>
        <w:pStyle w:val="ListParagraph"/>
        <w:ind w:left="1080"/>
        <w:rPr>
          <w:rFonts w:ascii="Times New Roman" w:hAnsi="Times New Roman" w:cs="Times New Roman"/>
          <w:sz w:val="24"/>
          <w:szCs w:val="24"/>
        </w:rPr>
      </w:pPr>
      <w:hyperlink r:id="rId9" w:history="1">
        <w:r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7B1025" w:rsidP="001B40B3">
      <w:pPr>
        <w:pStyle w:val="ListParagraph"/>
        <w:ind w:left="1080"/>
        <w:rPr>
          <w:rFonts w:ascii="Times New Roman" w:hAnsi="Times New Roman" w:cs="Times New Roman"/>
          <w:sz w:val="24"/>
          <w:szCs w:val="24"/>
        </w:rPr>
      </w:pPr>
      <w:hyperlink r:id="rId10" w:history="1">
        <w:r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5"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6"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0"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7"/>
  </w:num>
  <w:num w:numId="4">
    <w:abstractNumId w:val="15"/>
  </w:num>
  <w:num w:numId="5">
    <w:abstractNumId w:val="13"/>
  </w:num>
  <w:num w:numId="6">
    <w:abstractNumId w:val="1"/>
  </w:num>
  <w:num w:numId="7">
    <w:abstractNumId w:val="11"/>
  </w:num>
  <w:num w:numId="8">
    <w:abstractNumId w:val="2"/>
  </w:num>
  <w:num w:numId="9">
    <w:abstractNumId w:val="10"/>
  </w:num>
  <w:num w:numId="10">
    <w:abstractNumId w:val="0"/>
  </w:num>
  <w:num w:numId="11">
    <w:abstractNumId w:val="4"/>
  </w:num>
  <w:num w:numId="12">
    <w:abstractNumId w:val="5"/>
  </w:num>
  <w:num w:numId="13">
    <w:abstractNumId w:val="3"/>
  </w:num>
  <w:num w:numId="14">
    <w:abstractNumId w:val="9"/>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21AB5"/>
    <w:rsid w:val="00022FC4"/>
    <w:rsid w:val="000436A2"/>
    <w:rsid w:val="000541F6"/>
    <w:rsid w:val="000579B3"/>
    <w:rsid w:val="00084AC1"/>
    <w:rsid w:val="0009672C"/>
    <w:rsid w:val="000A3E1B"/>
    <w:rsid w:val="000B441D"/>
    <w:rsid w:val="000B53CB"/>
    <w:rsid w:val="000D657D"/>
    <w:rsid w:val="000D6A1E"/>
    <w:rsid w:val="000E5532"/>
    <w:rsid w:val="000E6A9A"/>
    <w:rsid w:val="00101D9A"/>
    <w:rsid w:val="001273E5"/>
    <w:rsid w:val="0014233D"/>
    <w:rsid w:val="00153AE1"/>
    <w:rsid w:val="00155600"/>
    <w:rsid w:val="00160A55"/>
    <w:rsid w:val="00164182"/>
    <w:rsid w:val="0017420C"/>
    <w:rsid w:val="001753DB"/>
    <w:rsid w:val="00181498"/>
    <w:rsid w:val="00196661"/>
    <w:rsid w:val="001B40B3"/>
    <w:rsid w:val="001C1BBF"/>
    <w:rsid w:val="001F7284"/>
    <w:rsid w:val="001F7DE5"/>
    <w:rsid w:val="002078A5"/>
    <w:rsid w:val="00213DEC"/>
    <w:rsid w:val="00220AB0"/>
    <w:rsid w:val="00220BC1"/>
    <w:rsid w:val="00230728"/>
    <w:rsid w:val="00234DC9"/>
    <w:rsid w:val="0024376D"/>
    <w:rsid w:val="0026358E"/>
    <w:rsid w:val="00293396"/>
    <w:rsid w:val="002A73D8"/>
    <w:rsid w:val="002B58D1"/>
    <w:rsid w:val="002B708D"/>
    <w:rsid w:val="002C2454"/>
    <w:rsid w:val="002C7567"/>
    <w:rsid w:val="002D5FE7"/>
    <w:rsid w:val="002E7154"/>
    <w:rsid w:val="002F6BD9"/>
    <w:rsid w:val="003016C2"/>
    <w:rsid w:val="00310DA8"/>
    <w:rsid w:val="0031700D"/>
    <w:rsid w:val="00331EC2"/>
    <w:rsid w:val="0033417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011"/>
    <w:rsid w:val="00413FB2"/>
    <w:rsid w:val="004149D2"/>
    <w:rsid w:val="00425F38"/>
    <w:rsid w:val="004270CB"/>
    <w:rsid w:val="00431D58"/>
    <w:rsid w:val="00447CC6"/>
    <w:rsid w:val="0045216D"/>
    <w:rsid w:val="004725EB"/>
    <w:rsid w:val="00477CF9"/>
    <w:rsid w:val="004867D5"/>
    <w:rsid w:val="00487E1D"/>
    <w:rsid w:val="0049065C"/>
    <w:rsid w:val="00496CCE"/>
    <w:rsid w:val="004C5398"/>
    <w:rsid w:val="004E264E"/>
    <w:rsid w:val="005240D0"/>
    <w:rsid w:val="00541C0A"/>
    <w:rsid w:val="00552221"/>
    <w:rsid w:val="00556424"/>
    <w:rsid w:val="00564DCB"/>
    <w:rsid w:val="00567A32"/>
    <w:rsid w:val="00571BCA"/>
    <w:rsid w:val="0057546E"/>
    <w:rsid w:val="0058080E"/>
    <w:rsid w:val="005B0786"/>
    <w:rsid w:val="005C1644"/>
    <w:rsid w:val="005C48ED"/>
    <w:rsid w:val="005E463F"/>
    <w:rsid w:val="005E754C"/>
    <w:rsid w:val="005F6B39"/>
    <w:rsid w:val="00613C25"/>
    <w:rsid w:val="006147DB"/>
    <w:rsid w:val="006159BE"/>
    <w:rsid w:val="0061738A"/>
    <w:rsid w:val="00620659"/>
    <w:rsid w:val="00621C0D"/>
    <w:rsid w:val="006366BD"/>
    <w:rsid w:val="006446EE"/>
    <w:rsid w:val="00647971"/>
    <w:rsid w:val="00657B00"/>
    <w:rsid w:val="006727CB"/>
    <w:rsid w:val="00682A15"/>
    <w:rsid w:val="00695173"/>
    <w:rsid w:val="006A528B"/>
    <w:rsid w:val="006A5E11"/>
    <w:rsid w:val="006B3373"/>
    <w:rsid w:val="006D03C2"/>
    <w:rsid w:val="006D5AAA"/>
    <w:rsid w:val="006E4A49"/>
    <w:rsid w:val="006E4B35"/>
    <w:rsid w:val="006F7632"/>
    <w:rsid w:val="006F7F40"/>
    <w:rsid w:val="00707E2F"/>
    <w:rsid w:val="00712A6A"/>
    <w:rsid w:val="00722CA9"/>
    <w:rsid w:val="00742ADA"/>
    <w:rsid w:val="00784AE3"/>
    <w:rsid w:val="00793BBB"/>
    <w:rsid w:val="00797D26"/>
    <w:rsid w:val="007B1025"/>
    <w:rsid w:val="007B24C0"/>
    <w:rsid w:val="007B25EB"/>
    <w:rsid w:val="007D2E50"/>
    <w:rsid w:val="007E09BE"/>
    <w:rsid w:val="007F1589"/>
    <w:rsid w:val="00802910"/>
    <w:rsid w:val="00803EC4"/>
    <w:rsid w:val="0080640D"/>
    <w:rsid w:val="00821681"/>
    <w:rsid w:val="008223FF"/>
    <w:rsid w:val="00831B5E"/>
    <w:rsid w:val="00840D7A"/>
    <w:rsid w:val="0084751D"/>
    <w:rsid w:val="00847A87"/>
    <w:rsid w:val="00850C89"/>
    <w:rsid w:val="008701EE"/>
    <w:rsid w:val="00870485"/>
    <w:rsid w:val="008A1525"/>
    <w:rsid w:val="008A395A"/>
    <w:rsid w:val="008C7828"/>
    <w:rsid w:val="008D0BFD"/>
    <w:rsid w:val="008E419A"/>
    <w:rsid w:val="008F541D"/>
    <w:rsid w:val="0090441C"/>
    <w:rsid w:val="00924A5B"/>
    <w:rsid w:val="00930A4E"/>
    <w:rsid w:val="0093479F"/>
    <w:rsid w:val="00951883"/>
    <w:rsid w:val="00952FD1"/>
    <w:rsid w:val="009675E7"/>
    <w:rsid w:val="00967E1E"/>
    <w:rsid w:val="00980193"/>
    <w:rsid w:val="00980DF3"/>
    <w:rsid w:val="0099109B"/>
    <w:rsid w:val="0099642E"/>
    <w:rsid w:val="009B62E3"/>
    <w:rsid w:val="009C29A8"/>
    <w:rsid w:val="009C739B"/>
    <w:rsid w:val="009D44E5"/>
    <w:rsid w:val="009D5A0D"/>
    <w:rsid w:val="009F01CB"/>
    <w:rsid w:val="00A03DAE"/>
    <w:rsid w:val="00A1361A"/>
    <w:rsid w:val="00A330D4"/>
    <w:rsid w:val="00A41D09"/>
    <w:rsid w:val="00A42C88"/>
    <w:rsid w:val="00A52B71"/>
    <w:rsid w:val="00A56979"/>
    <w:rsid w:val="00A71427"/>
    <w:rsid w:val="00A72BEA"/>
    <w:rsid w:val="00A74B32"/>
    <w:rsid w:val="00A86BF0"/>
    <w:rsid w:val="00AD27F1"/>
    <w:rsid w:val="00AD2C90"/>
    <w:rsid w:val="00AE0A02"/>
    <w:rsid w:val="00AE4DA3"/>
    <w:rsid w:val="00AE5174"/>
    <w:rsid w:val="00AF3A79"/>
    <w:rsid w:val="00AF4B43"/>
    <w:rsid w:val="00B046E8"/>
    <w:rsid w:val="00B1372C"/>
    <w:rsid w:val="00B30933"/>
    <w:rsid w:val="00B4294F"/>
    <w:rsid w:val="00B52756"/>
    <w:rsid w:val="00B814E4"/>
    <w:rsid w:val="00BA178A"/>
    <w:rsid w:val="00BA5537"/>
    <w:rsid w:val="00BD1BDD"/>
    <w:rsid w:val="00BF6BFE"/>
    <w:rsid w:val="00C1473A"/>
    <w:rsid w:val="00C215C2"/>
    <w:rsid w:val="00C27642"/>
    <w:rsid w:val="00C2790B"/>
    <w:rsid w:val="00C4221A"/>
    <w:rsid w:val="00C456E3"/>
    <w:rsid w:val="00C735BE"/>
    <w:rsid w:val="00C76F54"/>
    <w:rsid w:val="00C831AD"/>
    <w:rsid w:val="00C85F2F"/>
    <w:rsid w:val="00C96660"/>
    <w:rsid w:val="00CA0D87"/>
    <w:rsid w:val="00CA5385"/>
    <w:rsid w:val="00CD2AC2"/>
    <w:rsid w:val="00CD444B"/>
    <w:rsid w:val="00CE35D6"/>
    <w:rsid w:val="00CF0A35"/>
    <w:rsid w:val="00D0435D"/>
    <w:rsid w:val="00D24679"/>
    <w:rsid w:val="00D270F3"/>
    <w:rsid w:val="00D32E57"/>
    <w:rsid w:val="00D35E49"/>
    <w:rsid w:val="00D42D50"/>
    <w:rsid w:val="00D4537C"/>
    <w:rsid w:val="00D55ACA"/>
    <w:rsid w:val="00D6403F"/>
    <w:rsid w:val="00D650D2"/>
    <w:rsid w:val="00D66FE9"/>
    <w:rsid w:val="00D810C4"/>
    <w:rsid w:val="00DA3DAF"/>
    <w:rsid w:val="00DB71D2"/>
    <w:rsid w:val="00DC033D"/>
    <w:rsid w:val="00DD11F7"/>
    <w:rsid w:val="00DF4A34"/>
    <w:rsid w:val="00E23914"/>
    <w:rsid w:val="00E24BA3"/>
    <w:rsid w:val="00E27CDC"/>
    <w:rsid w:val="00E43B01"/>
    <w:rsid w:val="00E502E7"/>
    <w:rsid w:val="00E538F8"/>
    <w:rsid w:val="00E57DCA"/>
    <w:rsid w:val="00E63787"/>
    <w:rsid w:val="00E76C4A"/>
    <w:rsid w:val="00E81925"/>
    <w:rsid w:val="00E820E4"/>
    <w:rsid w:val="00E8255C"/>
    <w:rsid w:val="00E85302"/>
    <w:rsid w:val="00E867FE"/>
    <w:rsid w:val="00E92131"/>
    <w:rsid w:val="00EC0115"/>
    <w:rsid w:val="00ED4E06"/>
    <w:rsid w:val="00EF6A8D"/>
    <w:rsid w:val="00F03EFD"/>
    <w:rsid w:val="00F10E3C"/>
    <w:rsid w:val="00F336B8"/>
    <w:rsid w:val="00F46A86"/>
    <w:rsid w:val="00F51D19"/>
    <w:rsid w:val="00F64705"/>
    <w:rsid w:val="00F83A6B"/>
    <w:rsid w:val="00F93A3F"/>
    <w:rsid w:val="00FB57CF"/>
    <w:rsid w:val="00FC15A8"/>
    <w:rsid w:val="00FC39FF"/>
    <w:rsid w:val="00FC443B"/>
    <w:rsid w:val="00FD3FBD"/>
    <w:rsid w:val="00FE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E0FF"/>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security-data-protection/security-controls/rbac-is-dead-now-what/" TargetMode="Externa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co.org.uk/for-organisations/guide-to-data-protection/data-protection-principles/" TargetMode="External"/><Relationship Id="rId4" Type="http://schemas.openxmlformats.org/officeDocument/2006/relationships/webSettings" Target="webSettings.xml"/><Relationship Id="rId9" Type="http://schemas.openxmlformats.org/officeDocument/2006/relationships/hyperlink" Target="https://www.researchgate.net/publication/221312943_A_Semantic-Aware_Attribute-Based_Access_Control_Model_for_Web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3726</TotalTime>
  <Pages>12</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125</cp:revision>
  <dcterms:created xsi:type="dcterms:W3CDTF">2017-05-04T07:21:00Z</dcterms:created>
  <dcterms:modified xsi:type="dcterms:W3CDTF">2017-05-13T11:10:00Z</dcterms:modified>
</cp:coreProperties>
</file>