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color w:val="555555"/>
          <w:sz w:val="20"/>
          <w:szCs w:val="20"/>
        </w:rPr>
        <w:t xml:space="preserve">Universidad de Puerto Rico en Humacao · Departamento de Biología</w:t>
      </w:r>
    </w:p>
    <w:p>
      <w:pPr>
        <w:spacing w:after="20"/>
        <w:jc w:val="center"/>
      </w:pPr>
      <w:r>
        <w:rPr>
          <w:b/>
          <w:bCs/>
          <w:color w:val="0B6B77"/>
          <w:sz w:val="36"/>
          <w:szCs w:val="36"/>
        </w:rPr>
        <w:t xml:space="preserve">BIOL4026 — Ciencia de Datos con R</w:t>
      </w:r>
    </w:p>
    <w:p>
      <w:pPr>
        <w:spacing w:after="20"/>
        <w:jc w:val="center"/>
      </w:pPr>
      <w:r>
        <w:rPr>
          <w:color w:val="222222"/>
          <w:sz w:val="26"/>
          <w:szCs w:val="26"/>
        </w:rPr>
        <w:t xml:space="preserve">Prontuario del curso</w:t>
      </w:r>
    </w:p>
    <w:p>
      <w:pPr>
        <w:spacing w:after="40"/>
        <w:jc w:val="center"/>
      </w:pPr>
      <w:r>
        <w:rPr>
          <w:i/>
          <w:iCs/>
          <w:color w:val="555555"/>
          <w:sz w:val="22"/>
          <w:szCs w:val="22"/>
        </w:rPr>
        <w:t xml:space="preserve">Primer semestre 2026–2027</w:t>
      </w:r>
    </w:p>
    <w:p>
      <w:pPr>
        <w:pBdr>
          <w:bottom w:val="single" w:color="11C1D9" w:sz="12" w:space="1"/>
        </w:pBdr>
        <w:spacing w:after="120" w:before="60"/>
      </w:pPr>
      <w:r>
        <w:t xml:space="preserve"/>
      </w:r>
    </w:p>
    <w:p>
      <w:pPr>
        <w:spacing w:after="40" w:line="276"/>
      </w:pPr>
      <w:r>
        <w:rPr>
          <w:b/>
          <w:bCs/>
          <w:sz w:val="22"/>
          <w:szCs w:val="22"/>
        </w:rPr>
        <w:t xml:space="preserve">Instructor: </w:t>
      </w:r>
      <w:r>
        <w:rPr>
          <w:sz w:val="22"/>
          <w:szCs w:val="22"/>
        </w:rPr>
        <w:t xml:space="preserve">Raymond L. Tremblay, PhD</w:t>
      </w:r>
    </w:p>
    <w:p>
      <w:pPr>
        <w:spacing w:after="40" w:line="276"/>
      </w:pPr>
      <w:r>
        <w:rPr>
          <w:b/>
          <w:bCs/>
          <w:sz w:val="22"/>
          <w:szCs w:val="22"/>
        </w:rPr>
        <w:t xml:space="preserve">Oficina: </w:t>
      </w:r>
      <w:r>
        <w:rPr>
          <w:sz w:val="22"/>
          <w:szCs w:val="22"/>
        </w:rPr>
        <w:t xml:space="preserve">NL 104</w:t>
      </w:r>
    </w:p>
    <w:p>
      <w:pPr>
        <w:spacing w:after="40" w:line="276"/>
      </w:pPr>
      <w:r>
        <w:rPr>
          <w:b/>
          <w:bCs/>
          <w:sz w:val="22"/>
          <w:szCs w:val="22"/>
        </w:rPr>
        <w:t xml:space="preserve">Teléfono: </w:t>
      </w:r>
      <w:r>
        <w:rPr>
          <w:sz w:val="22"/>
          <w:szCs w:val="22"/>
        </w:rPr>
        <w:t xml:space="preserve">(787) 850-0000 (Departamento de Biología)</w:t>
      </w:r>
    </w:p>
    <w:p>
      <w:pPr>
        <w:spacing w:after="40" w:line="276"/>
      </w:pPr>
      <w:r>
        <w:rPr>
          <w:b/>
          <w:bCs/>
          <w:sz w:val="22"/>
          <w:szCs w:val="22"/>
        </w:rPr>
        <w:t xml:space="preserve">Correo electrónico: </w:t>
      </w:r>
      <w:r>
        <w:rPr>
          <w:sz w:val="22"/>
          <w:szCs w:val="22"/>
        </w:rPr>
        <w:t xml:space="preserve">raymond.tremblay_at_upr_dot_edu</w:t>
      </w:r>
    </w:p>
    <w:p>
      <w:pPr>
        <w:spacing w:after="40" w:line="276"/>
      </w:pPr>
      <w:r>
        <w:rPr>
          <w:b/>
          <w:bCs/>
          <w:sz w:val="22"/>
          <w:szCs w:val="22"/>
        </w:rPr>
        <w:t xml:space="preserve">Horario de clase: </w:t>
      </w:r>
      <w:r>
        <w:rPr>
          <w:sz w:val="22"/>
          <w:szCs w:val="22"/>
        </w:rPr>
        <w:t xml:space="preserve">Lunes y miércoles, 4:30–5:50 p. m. (80 min). </w:t>
      </w:r>
      <w:r>
        <w:rPr>
          <w:i/>
          <w:iCs/>
          <w:sz w:val="22"/>
          <w:szCs w:val="22"/>
        </w:rPr>
        <w:t xml:space="preserve">Nota: ¡necesita traer su computadora portátil!</w:t>
      </w:r>
    </w:p>
    <w:p>
      <w:pPr>
        <w:spacing w:after="60" w:line="276"/>
      </w:pPr>
      <w:r>
        <w:rPr>
          <w:b/>
          <w:bCs/>
          <w:sz w:val="22"/>
          <w:szCs w:val="22"/>
        </w:rPr>
        <w:t xml:space="preserve">Horas de consulta (NL 104): </w:t>
      </w:r>
      <w:r>
        <w:rPr>
          <w:sz w:val="22"/>
          <w:szCs w:val="22"/>
        </w:rPr>
        <w:t xml:space="preserve">lunes y miércoles de 9:00 a. m. a 12:30 p. m.; martes y jueves de 1:00 a 2:00 p. m.</w:t>
      </w:r>
    </w:p>
    <w:p>
      <w:pPr>
        <w:pStyle w:val="Heading1"/>
        <w:spacing w:after="120" w:before="260"/>
      </w:pPr>
      <w:r>
        <w:rPr>
          <w:b/>
          <w:bCs/>
          <w:color w:val="0B6B77"/>
          <w:sz w:val="30"/>
          <w:szCs w:val="30"/>
        </w:rPr>
        <w:t xml:space="preserve">Descripción del curso</w:t>
      </w:r>
    </w:p>
    <w:p>
      <w:pPr>
        <w:spacing w:after="120" w:line="276"/>
      </w:pPr>
      <w:r>
        <w:rPr>
          <w:sz w:val="22"/>
          <w:szCs w:val="22"/>
        </w:rPr>
        <w:t xml:space="preserve">Este curso introduce las técnicas modernas de ciencia de datos aplicadas a la biología utilizando R, RStudio y RMarkdown. El énfasis está en el flujo de trabajo completo con datos: importar, organizar, limpiar, transformar, visualizar y comunicar datos de manera reproducible con el ecosistema tidyverse. Se trabaja con datos reales para demostrar cómo producir análisis, tablas, gráficas y documentos profesionales para la ciencia. El curso complementa —y asume familiaridad básica con— el curso de bioestadística (BIOL3740), en el cual se estudian a fondo las pruebas de hipótesis, los supuestos de las pruebas y la selección del método estadístico según el diseño experimental.</w:t>
      </w:r>
    </w:p>
    <w:p>
      <w:pPr>
        <w:pStyle w:val="Heading1"/>
        <w:spacing w:after="120" w:before="260"/>
      </w:pPr>
      <w:r>
        <w:rPr>
          <w:b/>
          <w:bCs/>
          <w:color w:val="0B6B77"/>
          <w:sz w:val="30"/>
          <w:szCs w:val="30"/>
        </w:rPr>
        <w:t xml:space="preserve">Objetivos del curso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Tema general: </w:t>
      </w:r>
      <w:r>
        <w:rPr>
          <w:sz w:val="22"/>
          <w:szCs w:val="22"/>
        </w:rPr>
        <w:t xml:space="preserve">desarrollar destrezas para organizar, transformar, visualizar y comunicar datos con el fin de contestar preguntas cuantitativas usando R, RStudio y RMarkdown.</w:t>
      </w:r>
    </w:p>
    <w:p>
      <w:pPr>
        <w:spacing w:after="60" w:line="276"/>
      </w:pPr>
      <w:r>
        <w:rPr>
          <w:sz w:val="22"/>
          <w:szCs w:val="22"/>
        </w:rPr>
        <w:t xml:space="preserve">Al finalizar el curso, el estudiante podrá: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Importar y organizar datos de distintas fuentes (CSV, hojas de cálculo, conjuntos de datos de paquetes).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Limpiar y transformar datos con dplyr y tidyr, incluyendo la combinación de datos relacionados.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Visualizar datos de forma efectiva con ggplot2.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Trabajar con cadenas de texto (stringr), factores (forcats) y fechas y horas (lubridate).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Escribir funciones e iterar procesos de forma eficiente (purrr).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Construir y visualizar modelos básicos con modelr.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Producir documentos y sitios web reproducibles con RMarkdown.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Comunicar resultados cuantitativos de manera clara y profesional.</w:t>
      </w:r>
    </w:p>
    <w:p>
      <w:pPr>
        <w:pStyle w:val="Heading1"/>
        <w:spacing w:after="120" w:before="260"/>
      </w:pPr>
      <w:r>
        <w:rPr>
          <w:b/>
          <w:bCs/>
          <w:color w:val="0B6B77"/>
          <w:sz w:val="30"/>
          <w:szCs w:val="30"/>
        </w:rPr>
        <w:t xml:space="preserve">Prerequisitos</w:t>
      </w:r>
    </w:p>
    <w:p>
      <w:pPr>
        <w:spacing w:after="120" w:line="276"/>
      </w:pPr>
      <w:r>
        <w:rPr>
          <w:sz w:val="22"/>
          <w:szCs w:val="22"/>
        </w:rPr>
        <w:t xml:space="preserve">Ninguno formal. </w:t>
      </w:r>
      <w:r>
        <w:rPr>
          <w:sz w:val="22"/>
          <w:szCs w:val="22"/>
        </w:rPr>
        <w:t xml:space="preserve">Se recomienda haber aprobado previamente el curso complementario de estadística, </w:t>
      </w:r>
      <w:r>
        <w:rPr>
          <w:b/>
          <w:bCs/>
          <w:sz w:val="22"/>
          <w:szCs w:val="22"/>
        </w:rPr>
        <w:t xml:space="preserve">BIOL3740 (Bioestadística)</w:t>
      </w:r>
      <w:r>
        <w:rPr>
          <w:sz w:val="22"/>
          <w:szCs w:val="22"/>
        </w:rPr>
        <w:t xml:space="preserve">, ya que este curso asume familiaridad con conceptos estadísticos básicos y se concentra en la organización, manipulación y visualización de datos.</w:t>
      </w:r>
    </w:p>
    <w:p>
      <w:pPr>
        <w:pStyle w:val="Heading1"/>
        <w:spacing w:after="120" w:before="260"/>
      </w:pPr>
      <w:r>
        <w:rPr>
          <w:b/>
          <w:bCs/>
          <w:color w:val="0B6B77"/>
          <w:sz w:val="30"/>
          <w:szCs w:val="30"/>
        </w:rPr>
        <w:t xml:space="preserve">Libros y recursos sugeridos</w:t>
      </w:r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dtrlixumslr-lsx84puul">
        <w:r>
          <w:rPr>
            <w:rStyle w:val="Hyperlink"/>
            <w:sz w:val="22"/>
            <w:szCs w:val="22"/>
          </w:rPr>
          <w:t xml:space="preserve">Grolemund y Wickham. R for Data Science (2.ª ed.)</w:t>
        </w:r>
      </w:hyperlink>
      <w:r>
        <w:rPr>
          <w:sz w:val="22"/>
          <w:szCs w:val="22"/>
        </w:rPr>
        <w:t xml:space="preserve"> — en inglés.</w:t>
      </w:r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xv8mhqwcotcv_rtpeap-v">
        <w:r>
          <w:rPr>
            <w:rStyle w:val="Hyperlink"/>
            <w:sz w:val="22"/>
            <w:szCs w:val="22"/>
          </w:rPr>
          <w:t xml:space="preserve">Grolemund y Wickham. R para Ciencia de Datos</w:t>
        </w:r>
      </w:hyperlink>
      <w:r>
        <w:rPr>
          <w:sz w:val="22"/>
          <w:szCs w:val="22"/>
        </w:rPr>
        <w:t xml:space="preserve"> — en español.</w:t>
      </w:r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qssfs3c5lvckeqjwefu_o">
        <w:r>
          <w:rPr>
            <w:rStyle w:val="Hyperlink"/>
            <w:sz w:val="22"/>
            <w:szCs w:val="22"/>
          </w:rPr>
          <w:t xml:space="preserve">Tremblay y Hernández-Serrano (2018). Gráficas versátiles con ggplot2.</w:t>
        </w:r>
      </w:hyperlink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Se asignarán artículos revisados por pares para fomentar el uso de estas herramientas en las ciencias.</w:t>
      </w:r>
    </w:p>
    <w:p>
      <w:pPr>
        <w:spacing w:after="80" w:line="276"/>
      </w:pPr>
      <w:r>
        <w:rPr>
          <w:b/>
          <w:bCs/>
          <w:i/>
          <w:iCs/>
          <w:sz w:val="22"/>
          <w:szCs w:val="22"/>
        </w:rPr>
        <w:t xml:space="preserve">Nota: </w:t>
      </w:r>
      <w:r>
        <w:rPr>
          <w:i/>
          <w:iCs/>
          <w:color w:val="555555"/>
          <w:sz w:val="22"/>
          <w:szCs w:val="22"/>
        </w:rPr>
        <w:t xml:space="preserve">en la 2.ª edición de R for Data Science se removieron los capítulos de modelado estadístico; el modelado formal se cubre en el curso complementario de estadística.</w:t>
      </w:r>
    </w:p>
    <w:p>
      <w:pPr>
        <w:pStyle w:val="Heading1"/>
        <w:spacing w:after="120" w:before="260"/>
      </w:pPr>
      <w:r>
        <w:rPr>
          <w:b/>
          <w:bCs/>
          <w:color w:val="0B6B77"/>
          <w:sz w:val="30"/>
          <w:szCs w:val="30"/>
        </w:rPr>
        <w:t xml:space="preserve">Programas</w:t>
      </w:r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vhz4m1dbwkamgujes9hmz">
        <w:r>
          <w:rPr>
            <w:rStyle w:val="Hyperlink"/>
            <w:sz w:val="22"/>
            <w:szCs w:val="22"/>
          </w:rPr>
          <w:t xml:space="preserve">R — lenguaje de programación estadística (gratuito)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2bz03iki0enzbetwbz6cr">
        <w:r>
          <w:rPr>
            <w:rStyle w:val="Hyperlink"/>
            <w:sz w:val="22"/>
            <w:szCs w:val="22"/>
          </w:rPr>
          <w:t xml:space="preserve">RStudio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MS Excel, Numbers o Google Sheets.</w:t>
      </w:r>
    </w:p>
    <w:p>
      <w:pPr>
        <w:pStyle w:val="Heading1"/>
        <w:spacing w:after="120" w:before="260"/>
      </w:pPr>
      <w:r>
        <w:rPr>
          <w:b/>
          <w:bCs/>
          <w:color w:val="0B6B77"/>
          <w:sz w:val="30"/>
          <w:szCs w:val="30"/>
        </w:rPr>
        <w:t xml:space="preserve">Contenido del curso</w:t>
      </w:r>
    </w:p>
    <w:p>
      <w:pPr>
        <w:spacing w:after="60" w:line="276"/>
      </w:pPr>
      <w:r>
        <w:rPr>
          <w:sz w:val="22"/>
          <w:szCs w:val="22"/>
        </w:rPr>
        <w:t xml:space="preserve">El curso sigue el libro en línea del curso (publicado con bookdown) y está organizado en los siguientes temas: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Preparación: instalación de R, RStudio y paquetes; flujo de trabajo; R como calculadora.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Visualización de datos con ggplot2.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Transformación de datos con dplyr: estructura, filtrado, valores faltantes, selección de variables, mutate, rangos y funciones estadísticas.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Reproducibilidad: scripts, errores comunes, opciones de knitr y ecuaciones en LaTeX.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Análisis exploratorio y el pipe.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Tibbles e importación de datos con readr.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Datos ordenados (tidyr) y datos relacionados.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Factores (forcats) y cadenas de texto (stringr).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Fechas y horas con lubridate.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Programación: funciones e iteración con purrr.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Modelos básicos con modelr y temas avanzados del tidyverse.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Visualización creativa (HEX stickers, nubes de palabras), mapas interactivos con leaflet y estudio de caso COVID-19.</w:t>
      </w:r>
    </w:p>
    <w:p>
      <w:pPr>
        <w:pStyle w:val="Heading1"/>
        <w:spacing w:after="120" w:before="260"/>
      </w:pPr>
      <w:r>
        <w:rPr>
          <w:b/>
          <w:bCs/>
          <w:color w:val="0B6B77"/>
          <w:sz w:val="30"/>
          <w:szCs w:val="30"/>
        </w:rPr>
        <w:t xml:space="preserve">Calendario tentativo</w:t>
      </w:r>
    </w:p>
    <w:p>
      <w:pPr>
        <w:spacing w:after="100" w:line="276"/>
      </w:pPr>
      <w:r>
        <w:rPr>
          <w:i/>
          <w:iCs/>
          <w:color w:val="555555"/>
          <w:sz w:val="22"/>
          <w:szCs w:val="22"/>
        </w:rPr>
        <w:t xml:space="preserve">Favor de revisar el calendario con regularidad, ya que puede cambiar. Las fechas específicas se añadirán según el calendario académico oficial de la UPR-Humacao.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910"/>
        <w:gridCol w:w="2200"/>
      </w:tblGrid>
      <w:tr>
        <w:trPr>
          <w:tblHeader/>
        </w:trPr>
        <w:tc>
          <w:tcPr>
            <w:tcW w:type="dxa" w:w="1250"/>
            <w:shd w:fill="11C1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Semana</w:t>
            </w:r>
          </w:p>
        </w:tc>
        <w:tc>
          <w:tcPr>
            <w:tcW w:type="dxa" w:w="5910"/>
            <w:shd w:fill="11C1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Tema(s)</w:t>
            </w:r>
          </w:p>
        </w:tc>
        <w:tc>
          <w:tcPr>
            <w:tcW w:type="dxa" w:w="2200"/>
            <w:shd w:fill="11C1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Paquete / herramienta</w:t>
            </w:r>
          </w:p>
        </w:tc>
      </w:tr>
      <w:tr>
        <w:tc>
          <w:tcPr>
            <w:tcW w:type="dxa" w:w="12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591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Preparación: instalación de R, RStudio y paquetes; flujo de trabajo; R como calculadora</w:t>
            </w:r>
          </w:p>
        </w:tc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base R · rmarkdown · tidyverse</w:t>
            </w:r>
          </w:p>
        </w:tc>
      </w:tr>
      <w:tr>
        <w:tc>
          <w:tcPr>
            <w:tcW w:type="dxa" w:w="125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591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Visualización de datos</w:t>
            </w:r>
          </w:p>
        </w:tc>
        <w:tc>
          <w:tcPr>
            <w:tcW w:type="dxa" w:w="220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ggplot2</w:t>
            </w:r>
          </w:p>
        </w:tc>
      </w:tr>
      <w:tr>
        <w:tc>
          <w:tcPr>
            <w:tcW w:type="dxa" w:w="12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3–4</w:t>
            </w:r>
          </w:p>
        </w:tc>
        <w:tc>
          <w:tcPr>
            <w:tcW w:type="dxa" w:w="591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Transformación de datos I: estructura, filtrado, valores faltantes y selección de variables</w:t>
            </w:r>
          </w:p>
        </w:tc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dplyr</w:t>
            </w:r>
          </w:p>
        </w:tc>
      </w:tr>
      <w:tr>
        <w:tc>
          <w:tcPr>
            <w:tcW w:type="dxa" w:w="125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591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Transformación de datos II: mutate, rangos y funciones estadísticas</w:t>
            </w:r>
          </w:p>
        </w:tc>
        <w:tc>
          <w:tcPr>
            <w:tcW w:type="dxa" w:w="220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dplyr</w:t>
            </w:r>
          </w:p>
        </w:tc>
      </w:tr>
      <w:tr>
        <w:tc>
          <w:tcPr>
            <w:tcW w:type="dxa" w:w="12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591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Scripts y errores comunes</w:t>
            </w:r>
          </w:p>
        </w:tc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base R · RStudio</w:t>
            </w:r>
          </w:p>
        </w:tc>
      </w:tr>
      <w:tr>
        <w:tc>
          <w:tcPr>
            <w:tcW w:type="dxa" w:w="125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591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Análisis exploratorio y el pipe</w:t>
            </w:r>
          </w:p>
        </w:tc>
        <w:tc>
          <w:tcPr>
            <w:tcW w:type="dxa" w:w="220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ggplot2 · magrittr</w:t>
            </w:r>
          </w:p>
        </w:tc>
      </w:tr>
      <w:tr>
        <w:tc>
          <w:tcPr>
            <w:tcW w:type="dxa" w:w="12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type="dxa" w:w="591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Tibbles e importación de datos</w:t>
            </w:r>
          </w:p>
        </w:tc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tibble · readr</w:t>
            </w:r>
          </w:p>
        </w:tc>
      </w:tr>
      <w:tr>
        <w:tc>
          <w:tcPr>
            <w:tcW w:type="dxa" w:w="125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9</w:t>
            </w:r>
          </w:p>
        </w:tc>
        <w:tc>
          <w:tcPr>
            <w:tcW w:type="dxa" w:w="591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Datos ordenados y datos relacionados</w:t>
            </w:r>
          </w:p>
        </w:tc>
        <w:tc>
          <w:tcPr>
            <w:tcW w:type="dxa" w:w="220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tidyr · dplyr</w:t>
            </w:r>
          </w:p>
        </w:tc>
      </w:tr>
      <w:tr>
        <w:tc>
          <w:tcPr>
            <w:tcW w:type="dxa" w:w="12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type="dxa" w:w="591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Factores y cadenas de texto</w:t>
            </w:r>
          </w:p>
        </w:tc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forcats · stringr</w:t>
            </w:r>
          </w:p>
        </w:tc>
      </w:tr>
      <w:tr>
        <w:tc>
          <w:tcPr>
            <w:tcW w:type="dxa" w:w="125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11</w:t>
            </w:r>
          </w:p>
        </w:tc>
        <w:tc>
          <w:tcPr>
            <w:tcW w:type="dxa" w:w="591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Comunicación reproducible: ecuaciones (LaTeX) y opciones de knitr</w:t>
            </w:r>
          </w:p>
        </w:tc>
        <w:tc>
          <w:tcPr>
            <w:tcW w:type="dxa" w:w="220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knitr · LaTeX</w:t>
            </w:r>
          </w:p>
        </w:tc>
      </w:tr>
      <w:tr>
        <w:tc>
          <w:tcPr>
            <w:tcW w:type="dxa" w:w="12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12</w:t>
            </w:r>
          </w:p>
        </w:tc>
        <w:tc>
          <w:tcPr>
            <w:tcW w:type="dxa" w:w="591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Fechas y horas</w:t>
            </w:r>
          </w:p>
        </w:tc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lubridate</w:t>
            </w:r>
          </w:p>
        </w:tc>
      </w:tr>
      <w:tr>
        <w:tc>
          <w:tcPr>
            <w:tcW w:type="dxa" w:w="125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13</w:t>
            </w:r>
          </w:p>
        </w:tc>
        <w:tc>
          <w:tcPr>
            <w:tcW w:type="dxa" w:w="591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Programación: funciones e iteración</w:t>
            </w:r>
          </w:p>
        </w:tc>
        <w:tc>
          <w:tcPr>
            <w:tcW w:type="dxa" w:w="220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base R · purrr</w:t>
            </w:r>
          </w:p>
        </w:tc>
      </w:tr>
      <w:tr>
        <w:tc>
          <w:tcPr>
            <w:tcW w:type="dxa" w:w="12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14</w:t>
            </w:r>
          </w:p>
        </w:tc>
        <w:tc>
          <w:tcPr>
            <w:tcW w:type="dxa" w:w="591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Modelos básicos y tidyverse avanzado</w:t>
            </w:r>
          </w:p>
        </w:tc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modelr · tidymodels</w:t>
            </w:r>
          </w:p>
        </w:tc>
      </w:tr>
      <w:tr>
        <w:tc>
          <w:tcPr>
            <w:tcW w:type="dxa" w:w="125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15</w:t>
            </w:r>
          </w:p>
        </w:tc>
        <w:tc>
          <w:tcPr>
            <w:tcW w:type="dxa" w:w="591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Visualización creativa, mapas interactivos y estudio de caso COVID-19; presentación final</w:t>
            </w:r>
          </w:p>
        </w:tc>
        <w:tc>
          <w:tcPr>
            <w:tcW w:type="dxa" w:w="220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leaflet · hexSticker · wordcloud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0B6B77"/>
          <w:sz w:val="30"/>
          <w:szCs w:val="30"/>
        </w:rPr>
        <w:t xml:space="preserve">Puntuación</w:t>
      </w:r>
    </w:p>
    <w:p>
      <w:pPr>
        <w:spacing w:after="100" w:line="276"/>
      </w:pPr>
      <w:r>
        <w:rPr>
          <w:sz w:val="22"/>
          <w:szCs w:val="22"/>
        </w:rPr>
        <w:t xml:space="preserve">Este curso se evaluará con los siguientes elementos: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11C1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Ítem</w:t>
            </w:r>
          </w:p>
        </w:tc>
        <w:tc>
          <w:tcPr>
            <w:tcW w:type="dxa" w:w="3000"/>
            <w:shd w:fill="11C1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63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Ejercicios prácticos (10–15 entregas, en formato .html)</w:t>
            </w:r>
          </w:p>
        </w:tc>
        <w:tc>
          <w:tcPr>
            <w:tcW w:type="dxa" w:w="30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55 %</w:t>
            </w:r>
          </w:p>
        </w:tc>
      </w:tr>
      <w:tr>
        <w:tc>
          <w:tcPr>
            <w:tcW w:type="dxa" w:w="636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Presentación final (sitio web en RMarkdown)</w:t>
            </w:r>
          </w:p>
        </w:tc>
        <w:tc>
          <w:tcPr>
            <w:tcW w:type="dxa" w:w="300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25 %</w:t>
            </w:r>
          </w:p>
        </w:tc>
      </w:tr>
      <w:tr>
        <w:tc>
          <w:tcPr>
            <w:tcW w:type="dxa" w:w="63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Participación en clase</w:t>
            </w:r>
          </w:p>
        </w:tc>
        <w:tc>
          <w:tcPr>
            <w:tcW w:type="dxa" w:w="30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10 %</w:t>
            </w:r>
          </w:p>
        </w:tc>
      </w:tr>
      <w:tr>
        <w:tc>
          <w:tcPr>
            <w:tcW w:type="dxa" w:w="636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Asistencia a clase</w:t>
            </w:r>
          </w:p>
        </w:tc>
        <w:tc>
          <w:tcPr>
            <w:tcW w:type="dxa" w:w="3000"/>
            <w:shd w:fill="F2FBFC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10 %</w:t>
            </w:r>
          </w:p>
        </w:tc>
      </w:tr>
      <w:tr>
        <w:tc>
          <w:tcPr>
            <w:tcW w:type="dxa" w:w="6360"/>
            <w:shd w:fill="E4F6F9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3000"/>
            <w:shd w:fill="E4F6F9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100 %</w:t>
            </w:r>
          </w:p>
        </w:tc>
      </w:tr>
    </w:tbl>
    <w:p>
      <w:pPr>
        <w:spacing w:after="60" w:before="100"/>
      </w:pPr>
      <w:r>
        <w:rPr>
          <w:b/>
          <w:bCs/>
          <w:sz w:val="22"/>
          <w:szCs w:val="22"/>
        </w:rPr>
        <w:t xml:space="preserve">Escala de notas: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A (100–90)  ·  B (89–80)  ·  C (79–70)  ·  D (69–60)  ·  F (&lt; 60)</w:t>
      </w:r>
    </w:p>
    <w:p>
      <w:pPr>
        <w:pStyle w:val="Heading1"/>
        <w:spacing w:after="120" w:before="260"/>
      </w:pPr>
      <w:r>
        <w:rPr>
          <w:b/>
          <w:bCs/>
          <w:color w:val="0B6B77"/>
          <w:sz w:val="30"/>
          <w:szCs w:val="30"/>
        </w:rPr>
        <w:t xml:space="preserve">Presentación final</w:t>
      </w:r>
    </w:p>
    <w:p>
      <w:pPr>
        <w:spacing w:after="120" w:line="276"/>
      </w:pPr>
      <w:r>
        <w:rPr>
          <w:sz w:val="22"/>
          <w:szCs w:val="22"/>
        </w:rPr>
        <w:t xml:space="preserve">Este curso no utiliza exámenes. En su lugar, el semestre culmina con una presentación final en la que cada estudiante construye y presenta su propio sitio web reproducible en RMarkdown (incluyendo su archivo .yml y su hoja de estilo .css). El proyecto integra las destrezas del semestre —importar, organizar, transformar, visualizar y comunicar datos— y vale el 25 % de la nota final.</w:t>
      </w:r>
    </w:p>
    <w:p>
      <w:pPr>
        <w:pStyle w:val="Heading1"/>
        <w:spacing w:after="120" w:before="260"/>
      </w:pPr>
      <w:r>
        <w:rPr>
          <w:b/>
          <w:bCs/>
          <w:color w:val="0B6B77"/>
          <w:sz w:val="30"/>
          <w:szCs w:val="30"/>
        </w:rPr>
        <w:t xml:space="preserve">Ejercicios</w:t>
      </w:r>
    </w:p>
    <w:p>
      <w:pPr>
        <w:spacing w:after="120" w:line="276"/>
      </w:pPr>
      <w:r>
        <w:rPr>
          <w:sz w:val="22"/>
          <w:szCs w:val="22"/>
        </w:rPr>
        <w:t xml:space="preserve">Los ejercicios se enfocan en la aplicación de los conceptos y métodos discutidos en clase y en la solución de problemas. Se hará un esfuerzo por usar datos reales para demostrar cómo trabajar con los análisis, tablas y gráficas en R, RStudio y RMarkdown. Típicamente, los estudiantes tendrán solo una semana para completar los ejercicios y entregarlos en formato .html.</w:t>
      </w:r>
    </w:p>
    <w:p>
      <w:pPr>
        <w:pStyle w:val="Heading1"/>
        <w:spacing w:after="120" w:before="260"/>
      </w:pPr>
      <w:r>
        <w:rPr>
          <w:b/>
          <w:bCs/>
          <w:color w:val="0B6B77"/>
          <w:sz w:val="30"/>
          <w:szCs w:val="30"/>
        </w:rPr>
        <w:t xml:space="preserve">Entregas tardías</w:t>
      </w:r>
    </w:p>
    <w:p>
      <w:pPr>
        <w:spacing w:after="120" w:line="276"/>
      </w:pPr>
      <w:r>
        <w:rPr>
          <w:sz w:val="22"/>
          <w:szCs w:val="22"/>
        </w:rPr>
        <w:t xml:space="preserve">Los ejercicios deben entregarse en la fecha y hora indicadas. </w:t>
      </w:r>
      <w:r>
        <w:rPr>
          <w:b/>
          <w:bCs/>
          <w:sz w:val="22"/>
          <w:szCs w:val="22"/>
        </w:rPr>
        <w:t xml:space="preserve">Por cada día de tardanza se descontará el 10 % de la puntuación del trabajo</w:t>
      </w:r>
      <w:r>
        <w:rPr>
          <w:sz w:val="22"/>
          <w:szCs w:val="22"/>
        </w:rPr>
        <w:t xml:space="preserve"> (por ejemplo, un ejercicio entregado con dos días de retraso recibe un descuento del 20 %). A partir del décimo día calendario de tardanza, el trabajo recibe una puntuación de cero. Solo se considerarán excepciones con una excusa válida y documentada.</w:t>
      </w:r>
    </w:p>
    <w:p>
      <w:pPr>
        <w:pStyle w:val="Heading1"/>
        <w:spacing w:after="120" w:before="260"/>
      </w:pPr>
      <w:r>
        <w:rPr>
          <w:b/>
          <w:bCs/>
          <w:color w:val="0B6B77"/>
          <w:sz w:val="30"/>
          <w:szCs w:val="30"/>
        </w:rPr>
        <w:t xml:space="preserve">Conferencias y participación</w:t>
      </w:r>
    </w:p>
    <w:p>
      <w:pPr>
        <w:spacing w:after="120" w:line="276"/>
      </w:pPr>
      <w:r>
        <w:rPr>
          <w:sz w:val="22"/>
          <w:szCs w:val="22"/>
        </w:rPr>
        <w:t xml:space="preserve">La participación en clase —que puede incluir actividades y pruebas cortas contabilizadas dentro de la nota de participación— es esencial para el aprendizaje y para un ambiente positivo. Aprender NO es un proceso pasivo: los estudiantes deben participar haciendo preguntas y discutiendo el material con su conocimiento previo (su bagaje de conocimiento).</w:t>
      </w:r>
    </w:p>
    <w:p>
      <w:pPr>
        <w:pStyle w:val="Heading1"/>
        <w:spacing w:after="120" w:before="260"/>
      </w:pPr>
      <w:r>
        <w:rPr>
          <w:b/>
          <w:bCs/>
          <w:color w:val="0B6B77"/>
          <w:sz w:val="30"/>
          <w:szCs w:val="30"/>
        </w:rPr>
        <w:t xml:space="preserve">Faltar a clase</w:t>
      </w:r>
    </w:p>
    <w:p>
      <w:pPr>
        <w:spacing w:after="120" w:line="276"/>
      </w:pPr>
      <w:r>
        <w:rPr>
          <w:i/>
          <w:iCs/>
          <w:sz w:val="22"/>
          <w:szCs w:val="22"/>
        </w:rPr>
        <w:t xml:space="preserve">Los trabajos cortos y las pruebas cortas NO se reponen.</w:t>
      </w:r>
      <w:r>
        <w:rPr>
          <w:sz w:val="22"/>
          <w:szCs w:val="22"/>
        </w:rPr>
        <w:t xml:space="preserve"> Si falta a la clase, es su responsabilidad hablar con los demás estudiantes para saber lo que se discutió. La presentación final se repone solamente por una excusa válida.</w:t>
      </w:r>
    </w:p>
    <w:p>
      <w:pPr>
        <w:pStyle w:val="Heading1"/>
        <w:spacing w:after="120" w:before="260"/>
      </w:pPr>
      <w:r>
        <w:rPr>
          <w:b/>
          <w:bCs/>
          <w:color w:val="0B6B77"/>
          <w:sz w:val="30"/>
          <w:szCs w:val="30"/>
        </w:rPr>
        <w:t xml:space="preserve">Políticas institucionales</w:t>
      </w:r>
    </w:p>
    <w:p>
      <w:pPr>
        <w:pStyle w:val="Heading2"/>
        <w:spacing w:after="80" w:before="180"/>
      </w:pPr>
      <w:r>
        <w:rPr>
          <w:b/>
          <w:bCs/>
          <w:color w:val="222222"/>
          <w:sz w:val="24"/>
          <w:szCs w:val="24"/>
        </w:rPr>
        <w:t xml:space="preserve">Derechos de estudiantes con impedimentos</w:t>
      </w:r>
    </w:p>
    <w:p>
      <w:pPr>
        <w:spacing w:after="120" w:line="276"/>
      </w:pPr>
      <w:r>
        <w:rPr>
          <w:sz w:val="22"/>
          <w:szCs w:val="22"/>
        </w:rPr>
        <w:t xml:space="preserve">La UPR-Humacao cumple con las leyes ADA (Americans with Disabilities Act) y 51 (Servicios Educativos Integrales para Personas con Impedimentos) para garantizar igualdad en el acceso a la educación y los servicios. Los estudiantes con impedimentos deben informar al (a la) profesor(a) de cada curso sobre sus necesidades especiales y/o de acomodo razonable para el curso, en la tarjeta de información de la primera semana, y visitar la Oficina de Servicios para la Población con Impedimentos (SERPI) a la brevedad posible. Se mantendrá la confidencialidad.</w:t>
      </w:r>
    </w:p>
    <w:p>
      <w:pPr>
        <w:pStyle w:val="Heading2"/>
        <w:spacing w:after="80" w:before="180"/>
      </w:pPr>
      <w:r>
        <w:rPr>
          <w:b/>
          <w:bCs/>
          <w:color w:val="222222"/>
          <w:sz w:val="24"/>
          <w:szCs w:val="24"/>
        </w:rPr>
        <w:t xml:space="preserve">Integridad académica</w:t>
      </w:r>
    </w:p>
    <w:p>
      <w:pPr>
        <w:spacing w:after="120" w:line="276"/>
      </w:pPr>
      <w:r>
        <w:rPr>
          <w:sz w:val="22"/>
          <w:szCs w:val="22"/>
        </w:rPr>
        <w:t xml:space="preserve">La Universidad de Puerto Rico promueve los más altos estándares de integridad académica y científica. El Artículo 6.2 del Reglamento General de Estudiantes de la Universidad de Puerto Rico (Certificación Núm. 13, 2009-2010, de la Junta de Síndicos) establece que “la deshonestidad académica incluye, pero no se limita a: acciones fraudulentas, la obtención de notas o grados académicos valiéndose de falsas o fraudulentas simulaciones, copiar total o parcialmente la labor académica de otra persona, plagiar total o parcialmente el trabajo de otra persona, copiar total o parcialmente las respuestas de otra persona a las preguntas de un examen, haciendo o consiguiendo que otro tome en su nombre cualquier prueba o examen oral o escrito, así como la ayuda o facilitación para que otra persona incurra en la referida conducta”. Cualquiera de estas acciones estará sujeta a sanciones disciplinarias conforme al procedimiento disciplinario establecido en el Reglamento General de Estudiantes de la UPR vigente.</w:t>
      </w:r>
    </w:p>
    <w:p>
      <w:pPr>
        <w:pStyle w:val="Heading2"/>
        <w:spacing w:after="80" w:before="180"/>
      </w:pPr>
      <w:r>
        <w:rPr>
          <w:b/>
          <w:bCs/>
          <w:color w:val="222222"/>
          <w:sz w:val="24"/>
          <w:szCs w:val="24"/>
        </w:rPr>
        <w:t xml:space="preserve">Grabación de las clases</w:t>
      </w:r>
    </w:p>
    <w:p>
      <w:pPr>
        <w:spacing w:after="120" w:line="276"/>
      </w:pPr>
      <w:r>
        <w:rPr>
          <w:sz w:val="22"/>
          <w:szCs w:val="22"/>
        </w:rPr>
        <w:t xml:space="preserve">Los estudiantes NO pueden grabar la clase en forma de video o audio sin el permiso del profesor. Algunos estudiantes con necesidades especiales pueden hablar con el profesor para pedir el permiso. La solicitud y aprobación del permiso tienen que ser por escrito (por ejemplo, por correo electrónico).</w:t>
      </w:r>
    </w:p>
    <w:p>
      <w:pPr>
        <w:pStyle w:val="Heading2"/>
        <w:spacing w:after="80" w:before="180"/>
      </w:pPr>
      <w:r>
        <w:rPr>
          <w:b/>
          <w:bCs/>
          <w:color w:val="222222"/>
          <w:sz w:val="24"/>
          <w:szCs w:val="24"/>
        </w:rPr>
        <w:t xml:space="preserve">Espacio libre de acoso sexual</w:t>
      </w:r>
    </w:p>
    <w:p>
      <w:pPr>
        <w:spacing w:after="120" w:line="276"/>
      </w:pPr>
      <w:r>
        <w:rPr>
          <w:sz w:val="22"/>
          <w:szCs w:val="22"/>
        </w:rPr>
        <w:t xml:space="preserve">La Universidad de Puerto Rico prohíbe el discrimen por razón de sexo y género en todas sus modalidades, incluyendo el hostigamiento sexual. Según la Política Institucional contra el Hostigamiento Sexual en la Universidad de Puerto Rico, Cert. Núm. 130 (2014-2015) de la Junta de Gobierno, si un(a) estudiante está siendo o fue afectado(a) por conductas relacionadas con el hostigamiento sexual, puede acudir ante la Oficina del Procurador Estudiantil, el Decanato de Estudiantes o el Coordinador de Cumplimiento con Título IX para orientación o para presentar una querella.</w:t>
      </w:r>
    </w:p>
    <w:p>
      <w:pPr>
        <w:pStyle w:val="Heading2"/>
        <w:spacing w:after="80" w:before="180"/>
      </w:pPr>
      <w:r>
        <w:rPr>
          <w:b/>
          <w:bCs/>
          <w:color w:val="222222"/>
          <w:sz w:val="24"/>
          <w:szCs w:val="24"/>
        </w:rPr>
        <w:t xml:space="preserve">Protocolo de la clase</w:t>
      </w:r>
    </w:p>
    <w:p>
      <w:pPr>
        <w:spacing w:after="120" w:line="276"/>
      </w:pPr>
      <w:r>
        <w:rPr>
          <w:sz w:val="22"/>
          <w:szCs w:val="22"/>
        </w:rPr>
        <w:t xml:space="preserve">Los teléfonos móviles estarán apagados durante la clase. Si necesita una calculadora, tráigala al salón. El teléfono no debería estar visible durante la clase a menos que se pida permiso al instructor. Recuerde que se usarán computadoras portátiles en cada sesión.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BIOL4026 — Ciencia de Datos con R  ·  </w:t>
    </w:r>
    <w:r>
      <w:rPr>
        <w:color w:val="555555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trlixumslr-lsx84puul" Type="http://schemas.openxmlformats.org/officeDocument/2006/relationships/hyperlink" Target="https://r4ds.hadley.nz" TargetMode="External"/><Relationship Id="rIdxv8mhqwcotcv_rtpeap-v" Type="http://schemas.openxmlformats.org/officeDocument/2006/relationships/hyperlink" Target="https://es.r4ds.hadley.nz" TargetMode="External"/><Relationship Id="rIdqssfs3c5lvckeqjwefu_o" Type="http://schemas.openxmlformats.org/officeDocument/2006/relationships/hyperlink" Target="https://www.amazon.com/Gr%C3%A1ficas-Vers&#225;tiles-ggplot2-An&#225;lisis-Spanish-ebook/dp/B07P2Q87H2" TargetMode="External"/><Relationship Id="rIdvhz4m1dbwkamgujes9hmz" Type="http://schemas.openxmlformats.org/officeDocument/2006/relationships/hyperlink" Target="https://cran.r-project.org/" TargetMode="External"/><Relationship Id="rId2bz03iki0enzbetwbz6cr" Type="http://schemas.openxmlformats.org/officeDocument/2006/relationships/hyperlink" Target="https://posit.co/download/rstudio-desktop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2026-08-10T18:10:04.673Z</dcterms:created>
  <dcterms:modified xsi:type="dcterms:W3CDTF">2026-08-10T18:10:04.673Z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