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Hoja de muestra tipográfica</w:t>
      </w:r>
    </w:p>
    <w:p>
      <w:pPr>
        <w:spacing w:after="80"/>
      </w:pPr>
      <w:r>
        <w:rPr>
          <w:i/>
          <w:iCs/>
          <w:sz w:val="19"/>
          <w:szCs w:val="19"/>
        </w:rPr>
        <w:t xml:space="preserve">Introducción a la Dinámica Poblacional de Orquídeas — propuesta (Sistema B, tipografías libres)</w:t>
      </w:r>
    </w:p>
    <w:p>
      <w:pPr>
        <w:spacing w:after="240"/>
      </w:pPr>
      <w:r>
        <w:rPr>
          <w:rFonts w:ascii="Source Sans 3" w:cs="Source Sans 3" w:eastAsia="Source Sans 3" w:hAnsi="Source Sans 3"/>
          <w:color w:val="555555"/>
          <w:sz w:val="18"/>
          <w:szCs w:val="18"/>
        </w:rPr>
        <w:t xml:space="preserve">Cada bloque muestra el elemento en su tamaño y estilo reales; debajo, en gris, la fuente y el tamaño.</w:t>
      </w:r>
    </w:p>
    <w:p>
      <w:pPr>
        <w:pBdr>
          <w:bottom w:val="single" w:color="CCCCCC" w:sz="6"/>
        </w:pBdr>
        <w:spacing w:after="200" w:before="60"/>
      </w:pPr>
    </w:p>
    <w:p>
      <w:pPr>
        <w:spacing w:after="20"/>
      </w:pPr>
      <w:r>
        <w:rPr>
          <w:caps/>
          <w:sz w:val="40"/>
          <w:szCs w:val="40"/>
        </w:rPr>
        <w:t xml:space="preserve">DIAGNÓSTICO POBLACIONAL: INTRODUCCIÓN</w:t>
      </w:r>
    </w:p>
    <w:p>
      <w:pPr>
        <w:spacing w:after="180" w:before="20"/>
      </w:pPr>
      <w:r>
        <w:rPr>
          <w:rFonts w:ascii="Source Sans 3" w:cs="Source Sans 3" w:eastAsia="Source Sans 3" w:hAnsi="Source Sans 3"/>
          <w:i/>
          <w:iCs/>
          <w:color w:val="777777"/>
          <w:sz w:val="16"/>
          <w:szCs w:val="16"/>
        </w:rPr>
        <w:t xml:space="preserve">Título de capítulo — Libertinus Serif, 20 pt, versalitas/regular</w:t>
      </w:r>
    </w:p>
    <w:p>
      <w:pPr>
        <w:spacing w:after="20" w:before="120"/>
      </w:pPr>
      <w:r>
        <w:rPr>
          <w:b/>
          <w:bCs/>
          <w:sz w:val="25"/>
          <w:szCs w:val="25"/>
        </w:rPr>
        <w:t xml:space="preserve">2.1  Dinámica poblacional: procesos y proyección</w:t>
      </w:r>
    </w:p>
    <w:p>
      <w:pPr>
        <w:spacing w:after="180" w:before="20"/>
      </w:pPr>
      <w:r>
        <w:rPr>
          <w:rFonts w:ascii="Source Sans 3" w:cs="Source Sans 3" w:eastAsia="Source Sans 3" w:hAnsi="Source Sans 3"/>
          <w:i/>
          <w:iCs/>
          <w:color w:val="777777"/>
          <w:sz w:val="16"/>
          <w:szCs w:val="16"/>
        </w:rPr>
        <w:t xml:space="preserve">Encabezado de sección X.Y — Libertinus Serif Negrita, 12.5 pt</w:t>
      </w:r>
    </w:p>
    <w:p>
      <w:pPr>
        <w:spacing w:after="20" w:before="80"/>
      </w:pPr>
      <w:r>
        <w:rPr>
          <w:i/>
          <w:iCs/>
          <w:sz w:val="22"/>
          <w:szCs w:val="22"/>
        </w:rPr>
        <w:t xml:space="preserve">2.1.1  Librerías de R requeridas para el siguiente módulo</w:t>
      </w:r>
    </w:p>
    <w:p>
      <w:pPr>
        <w:spacing w:after="180" w:before="20"/>
      </w:pPr>
      <w:r>
        <w:rPr>
          <w:rFonts w:ascii="Source Sans 3" w:cs="Source Sans 3" w:eastAsia="Source Sans 3" w:hAnsi="Source Sans 3"/>
          <w:i/>
          <w:iCs/>
          <w:color w:val="777777"/>
          <w:sz w:val="16"/>
          <w:szCs w:val="16"/>
        </w:rPr>
        <w:t xml:space="preserve">Subsección X.Y.Z — Libertinus Serif Cursiva, 11 pt</w:t>
      </w:r>
    </w:p>
    <w:p>
      <w:pPr>
        <w:spacing w:after="20" w:before="80" w:line="300"/>
        <w:jc w:val="both"/>
      </w:pPr>
      <w:r>
        <w:drawing>
          <wp:anchor distT="0" distB="90000" distL="0" distR="180000" simplePos="0" allowOverlap="1" behindDoc="0" locked="0" layoutInCell="1" relativeHeight="19050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1905000"/>
            <wp:effectExtent t="0" r="0" b="0" l="0"/>
            <wp:wrapSquare wrapText="right" distT="0" distB="90000" distL="0" distR="1800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 xml:space="preserve">La dinámica poblacional estudia cómo y por qué cambian las poblaciones a través del tiempo como resultado de los procesos demográficos fundamentales: supervivencia, crecimiento y reproducción. La tasa de crecimiento asintótica se denota con λ y describe el comportamiento a largo plazo de la población. En orquídeas, muchas especies epífitas presentan ciclos de vida con etapas difíciles de observar en el campo, como la latencia vegetativa, lo que obliga a diseñar cuidadosamente la recolección de datos. La fotografía se coloca a un tamaño reducido y el texto la rodea, en lugar de ocupar una página completa.</w:t>
      </w:r>
    </w:p>
    <w:p>
      <w:pPr>
        <w:spacing w:after="20"/>
      </w:pPr>
      <w:r>
        <w:rPr>
          <w:rFonts w:ascii="Source Sans 3" w:cs="Source Sans 3" w:eastAsia="Source Sans 3" w:hAnsi="Source Sans 3"/>
          <w:sz w:val="18"/>
          <w:szCs w:val="18"/>
        </w:rPr>
        <w:t xml:space="preserve">Figura 2.1. </w:t>
      </w:r>
      <w:r>
        <w:rPr>
          <w:rFonts w:ascii="Source Sans 3" w:cs="Source Sans 3" w:eastAsia="Source Sans 3" w:hAnsi="Source Sans 3"/>
          <w:i/>
          <w:iCs/>
          <w:sz w:val="18"/>
          <w:szCs w:val="18"/>
        </w:rPr>
        <w:t xml:space="preserve">Tolumnia variegata</w:t>
      </w:r>
      <w:r>
        <w:rPr>
          <w:rFonts w:ascii="Source Sans 3" w:cs="Source Sans 3" w:eastAsia="Source Sans 3" w:hAnsi="Source Sans 3"/>
          <w:sz w:val="18"/>
          <w:szCs w:val="18"/>
        </w:rPr>
        <w:t xml:space="preserve">. Foto: Tremblay.</w:t>
      </w:r>
    </w:p>
    <w:p>
      <w:pPr>
        <w:spacing w:after="180" w:before="20"/>
      </w:pPr>
      <w:r>
        <w:rPr>
          <w:rFonts w:ascii="Source Sans 3" w:cs="Source Sans 3" w:eastAsia="Source Sans 3" w:hAnsi="Source Sans 3"/>
          <w:i/>
          <w:iCs/>
          <w:color w:val="777777"/>
          <w:sz w:val="16"/>
          <w:szCs w:val="16"/>
        </w:rPr>
        <w:t xml:space="preserve">Foto reducida con texto envolvente (~1.5") + leyenda en Source Sans 3, 9 pt. Cuerpo: Libertinus Serif Regular, 10.5 pt.</w:t>
      </w:r>
    </w:p>
    <w:p>
      <w:pPr>
        <w:pBdr>
          <w:bottom w:val="single" w:color="CCCCCC" w:sz="6"/>
        </w:pBdr>
        <w:spacing w:after="200" w:before="60"/>
      </w:pPr>
    </w:p>
    <w:p>
      <w:pPr>
        <w:spacing w:after="60" w:before="80"/>
      </w:pPr>
      <w:r>
        <w:rPr>
          <w:b/>
          <w:bCs/>
          <w:sz w:val="19"/>
          <w:szCs w:val="19"/>
        </w:rPr>
        <w:t xml:space="preserve">Ejemplo de script (más extenso):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# Construir la matriz de proyección poblacional (MPP)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library(popbio)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 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# Matriz de transición A: 3 estados (plántula, juvenil, adulto)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A &lt;- matrix(c(0.00, 0.00, 5.30,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              0.35, 0.42, 0.00,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              0.00, 0.18, 0.88),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            nrow = 3, byrow = TRUE)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 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# Tasa de crecimiento asintótica (lambda) y estructura estable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lambda(A)</w:t>
      </w:r>
    </w:p>
    <w:p>
      <w:pPr>
        <w:shd w:fill="F6F8FA"/>
        <w:spacing w:after="0" w:before="0"/>
      </w:pPr>
      <w:r>
        <w:rPr>
          <w:rFonts w:ascii="JetBrains Mono" w:cs="JetBrains Mono" w:eastAsia="JetBrains Mono" w:hAnsi="JetBrains Mono"/>
          <w:sz w:val="19"/>
          <w:szCs w:val="19"/>
        </w:rPr>
        <w:t xml:space="preserve">stable.stage(A)</w:t>
      </w:r>
    </w:p>
    <w:p>
      <w:pPr>
        <w:spacing w:after="180" w:before="20"/>
      </w:pPr>
      <w:r>
        <w:rPr>
          <w:rFonts w:ascii="Source Sans 3" w:cs="Source Sans 3" w:eastAsia="Source Sans 3" w:hAnsi="Source Sans 3"/>
          <w:i/>
          <w:iCs/>
          <w:color w:val="777777"/>
          <w:sz w:val="16"/>
          <w:szCs w:val="16"/>
        </w:rPr>
        <w:t xml:space="preserve">Código (scripts) — JetBrains Mono, 9.5 pt, sin ligaduras de programación</w:t>
      </w:r>
    </w:p>
    <w:p>
      <w:pPr>
        <w:pBdr>
          <w:bottom w:val="single" w:color="CCCCCC" w:sz="6"/>
        </w:pBdr>
        <w:spacing w:after="200" w:before="60"/>
      </w:pPr>
    </w:p>
    <w:p>
      <w:pPr>
        <w:spacing w:after="80" w:before="80"/>
      </w:pPr>
      <w:r>
        <w:rPr>
          <w:b/>
          <w:bCs/>
          <w:sz w:val="19"/>
          <w:szCs w:val="19"/>
        </w:rPr>
        <w:t xml:space="preserve">Ejemplo de tabla formateada (estilo abierto, booktabs):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sz w:val="19"/>
                <w:szCs w:val="19"/>
              </w:rPr>
              <w:t xml:space="preserve">Categoría de uso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/>
                <w:bCs/>
                <w:sz w:val="19"/>
                <w:szCs w:val="19"/>
              </w:rPr>
              <w:t xml:space="preserve">λ estimada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Manejo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0.982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Evaluación de riesgo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1.041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Procesos evolutivos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0.907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</w:tbl>
    <w:p>
      <w:pPr>
        <w:spacing w:before="60"/>
      </w:pPr>
      <w:r>
        <w:rPr>
          <w:rFonts w:ascii="Source Sans 3" w:cs="Source Sans 3" w:eastAsia="Source Sans 3" w:hAnsi="Source Sans 3"/>
          <w:sz w:val="18"/>
          <w:szCs w:val="18"/>
        </w:rPr>
        <w:t xml:space="preserve">Tabla 2.1. </w:t>
      </w:r>
      <w:r>
        <w:rPr>
          <w:rFonts w:ascii="Source Sans 3" w:cs="Source Sans 3" w:eastAsia="Source Sans 3" w:hAnsi="Source Sans 3"/>
          <w:i/>
          <w:iCs/>
          <w:sz w:val="18"/>
          <w:szCs w:val="18"/>
        </w:rPr>
        <w:t xml:space="preserve">Ejemplo de valores de λ por categoría de uso.</w:t>
      </w:r>
    </w:p>
    <w:p>
      <w:pPr>
        <w:spacing w:after="180" w:before="20"/>
      </w:pPr>
      <w:r>
        <w:rPr>
          <w:rFonts w:ascii="Source Sans 3" w:cs="Source Sans 3" w:eastAsia="Source Sans 3" w:hAnsi="Source Sans 3"/>
          <w:i/>
          <w:iCs/>
          <w:color w:val="777777"/>
          <w:sz w:val="16"/>
          <w:szCs w:val="16"/>
        </w:rPr>
        <w:t xml:space="preserve">Tabla — Source Sans 3, 9.5 pt; solo filetes horizontales; columnas numéricas a la derecha con cifras tabulares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tinus Serif" w:cs="Libertinus Serif" w:eastAsia="Libertinus Serif" w:hAnsi="Libertinus Seri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d6991035ce7c0b35dad8b9e6f533b34a97160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2026-07-16T22:30:14.537Z</dcterms:created>
  <dcterms:modified xsi:type="dcterms:W3CDTF">2026-07-16T22:30:14.537Z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