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06F7" w14:textId="77777777" w:rsidR="00921C0E" w:rsidRDefault="00000000">
      <w:pPr>
        <w:pStyle w:val="Heading1"/>
      </w:pPr>
      <w:bookmarkStart w:id="0" w:name="Xb0f45f276a76022c2d8f9c9fe4accc70ed425e9"/>
      <w:r>
        <w:t>Observaciones sobre diseño y diagramación — Prueba preliminar</w:t>
      </w:r>
      <w:bookmarkEnd w:id="0"/>
    </w:p>
    <w:p w14:paraId="7137001A" w14:textId="77777777" w:rsidR="00921C0E" w:rsidRDefault="00000000">
      <w:pPr>
        <w:pStyle w:val="FirstParagraph"/>
      </w:pPr>
      <w:r>
        <w:rPr>
          <w:b/>
        </w:rPr>
        <w:t>Libro:</w:t>
      </w:r>
      <w:r>
        <w:t xml:space="preserve"> </w:t>
      </w:r>
      <w:r>
        <w:rPr>
          <w:i/>
        </w:rPr>
        <w:t>Introducción a la Dinámica Poblacional de Orquídeas</w:t>
      </w:r>
      <w:r>
        <w:t xml:space="preserve"> (Botanical Essays from Lankester Botanical Garden, Vol. 2) </w:t>
      </w:r>
      <w:r>
        <w:rPr>
          <w:b/>
        </w:rPr>
        <w:t>Autor:</w:t>
      </w:r>
      <w:r>
        <w:t xml:space="preserve"> Raymond L. Tremblay · </w:t>
      </w:r>
      <w:r>
        <w:rPr>
          <w:b/>
        </w:rPr>
        <w:t>Fecha:</w:t>
      </w:r>
      <w:r>
        <w:t xml:space="preserve"> 16 de julio de 2026 </w:t>
      </w:r>
      <w:r>
        <w:rPr>
          <w:b/>
        </w:rPr>
        <w:t>Archivo revisado:</w:t>
      </w:r>
      <w:r>
        <w:t xml:space="preserve"> Botanical Essays TREMBLAY WKG.pdf (22 páginas)</w:t>
      </w:r>
    </w:p>
    <w:p w14:paraId="660BE57F" w14:textId="77777777" w:rsidR="00921C0E" w:rsidRDefault="00000000">
      <w:pPr>
        <w:pStyle w:val="BodyText"/>
      </w:pPr>
      <w:r>
        <w:t xml:space="preserve">Estas notas se centran exclusivamente en </w:t>
      </w:r>
      <w:r>
        <w:rPr>
          <w:b/>
        </w:rPr>
        <w:t>diseño y diagramación</w:t>
      </w:r>
      <w:r>
        <w:t xml:space="preserve"> (tipografía, tamaños, tablas y leyendas, acomodo de imágenes, numeración y presentación), según lo solicitado. No incluyen observaciones de contenido.</w:t>
      </w:r>
    </w:p>
    <w:p w14:paraId="7170234F" w14:textId="77777777" w:rsidR="00921C0E" w:rsidRDefault="00000000">
      <w:pPr>
        <w:pStyle w:val="BodyText"/>
      </w:pPr>
      <w:r>
        <w:rPr>
          <w:b/>
        </w:rPr>
        <w:t>Impresión general:</w:t>
      </w:r>
      <w:r>
        <w:t xml:space="preserve"> la estructura de la diagramación es sólida —una sola columna, márgenes generosos, titulillos en versalitas, jerarquía clara de encabezados—. Sin embargo, </w:t>
      </w:r>
      <w:r>
        <w:rPr>
          <w:b/>
        </w:rPr>
        <w:t>la elección tipográfica es el punto más débil de la prueba</w:t>
      </w:r>
      <w:r>
        <w:t xml:space="preserve">: la fuente del </w:t>
      </w:r>
      <w:r>
        <w:rPr>
          <w:b/>
        </w:rPr>
        <w:t>cuerpo</w:t>
      </w:r>
      <w:r>
        <w:t xml:space="preserve"> no transmite el aire profesional que merece el libro, y la fuente de las </w:t>
      </w:r>
      <w:r>
        <w:rPr>
          <w:b/>
        </w:rPr>
        <w:t>tablas</w:t>
      </w:r>
      <w:r>
        <w:t xml:space="preserve"> resulta difícil de leer. Por eso, además de las observaciones generales, incluimos abajo una </w:t>
      </w:r>
      <w:r>
        <w:rPr>
          <w:b/>
        </w:rPr>
        <w:t>especificación tipográfica concreta</w:t>
      </w:r>
      <w:r>
        <w:t xml:space="preserve"> (familias, tamaños e interlínea) para acordar con el equipo de diseño.</w:t>
      </w:r>
    </w:p>
    <w:p w14:paraId="7607764C" w14:textId="77777777" w:rsidR="00921C0E" w:rsidRDefault="00B13DAA">
      <w:r>
        <w:rPr>
          <w:noProof/>
        </w:rPr>
        <w:pict w14:anchorId="39B3BE62">
          <v:rect id="_x0000_i1027" alt="" style="width:468pt;height:.05pt;mso-width-percent:0;mso-height-percent:0;mso-width-percent:0;mso-height-percent:0" o:hralign="center" o:hrstd="t" o:hr="t"/>
        </w:pict>
      </w:r>
    </w:p>
    <w:p w14:paraId="17523155" w14:textId="77777777" w:rsidR="00921C0E" w:rsidRDefault="00000000">
      <w:pPr>
        <w:pStyle w:val="Heading2"/>
      </w:pPr>
      <w:bookmarkStart w:id="1" w:name="X0199e21369d121c756c79c21c572cc2812033cf"/>
      <w:r>
        <w:t>1. Especificación tipográfica recomendada (lo más importante)</w:t>
      </w:r>
      <w:bookmarkEnd w:id="1"/>
    </w:p>
    <w:p w14:paraId="473B36C3" w14:textId="77777777" w:rsidR="00921C0E" w:rsidRDefault="00000000">
      <w:pPr>
        <w:pStyle w:val="FirstParagraph"/>
      </w:pPr>
      <w:r>
        <w:t xml:space="preserve">Recomendamos </w:t>
      </w:r>
      <w:r>
        <w:rPr>
          <w:b/>
        </w:rPr>
        <w:t>fijar explícitamente</w:t>
      </w:r>
      <w:r>
        <w:t xml:space="preserve"> la tipografía de cada elemento en lugar de dejarla al azar de la diagramación. Un dato técnico refuerza esto: en la prueba, el símbolo </w:t>
      </w:r>
      <w:r>
        <w:rPr>
          <w:b/>
        </w:rPr>
        <w:t>λ</w:t>
      </w:r>
      <w:r>
        <w:t xml:space="preserve"> desaparece y queda como «( )» vacío (p. 11, p. 14) porque la fuente actual </w:t>
      </w:r>
      <w:r>
        <w:rPr>
          <w:b/>
        </w:rPr>
        <w:t>no incluye los glifos griegos</w:t>
      </w:r>
      <w:r>
        <w:t xml:space="preserve">. Cualquier fuente que se elija debe cubrir español (tildes, ñ, ¿¡) </w:t>
      </w:r>
      <w:r>
        <w:rPr>
          <w:b/>
        </w:rPr>
        <w:t>y</w:t>
      </w:r>
      <w:r>
        <w:t xml:space="preserve"> griego/matemático (λ, ρ, α, μ, Σ…).</w:t>
      </w:r>
    </w:p>
    <w:p w14:paraId="45B0A91C" w14:textId="77777777" w:rsidR="00921C0E" w:rsidRDefault="00000000">
      <w:pPr>
        <w:pStyle w:val="BodyText"/>
      </w:pPr>
      <w:r>
        <w:t xml:space="preserve">Proponemos dos sistemas coherentes. </w:t>
      </w:r>
      <w:r>
        <w:rPr>
          <w:b/>
        </w:rPr>
        <w:t>Sistema A</w:t>
      </w:r>
      <w:r>
        <w:t xml:space="preserve"> (tipografías comerciales, estándar en edición académica) o </w:t>
      </w:r>
      <w:r>
        <w:rPr>
          <w:b/>
        </w:rPr>
        <w:t>Sistema B</w:t>
      </w:r>
      <w:r>
        <w:t xml:space="preserve"> (libres, con la ventaja de unificar el libro impreso con el libro digital, que ya las usa). Cualquiera de los dos es muy superior a lo actual.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97"/>
        <w:gridCol w:w="1967"/>
        <w:gridCol w:w="1653"/>
        <w:gridCol w:w="1743"/>
        <w:gridCol w:w="1916"/>
      </w:tblGrid>
      <w:tr w:rsidR="00921C0E" w14:paraId="6CD7D9A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55481F2" w14:textId="77777777" w:rsidR="00921C0E" w:rsidRDefault="00000000">
            <w:pPr>
              <w:pStyle w:val="Compact"/>
            </w:pPr>
            <w:r>
              <w:t>Elemento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09F489" w14:textId="77777777" w:rsidR="00921C0E" w:rsidRDefault="00000000">
            <w:pPr>
              <w:pStyle w:val="Compact"/>
            </w:pPr>
            <w:r>
              <w:t>Fuente — Sistema A (comercial)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6F6FA85" w14:textId="77777777" w:rsidR="00921C0E" w:rsidRDefault="00000000">
            <w:pPr>
              <w:pStyle w:val="Compact"/>
            </w:pPr>
            <w:r>
              <w:t>Fuente — Sistema B (libre)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BF5967C" w14:textId="77777777" w:rsidR="00921C0E" w:rsidRDefault="00000000">
            <w:pPr>
              <w:pStyle w:val="Compact"/>
            </w:pPr>
            <w:r>
              <w:t>Tamaño / interlínea*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9AE88A" w14:textId="77777777" w:rsidR="00921C0E" w:rsidRDefault="00000000">
            <w:pPr>
              <w:pStyle w:val="Compact"/>
            </w:pPr>
            <w:r>
              <w:t>Peso / estilo</w:t>
            </w:r>
          </w:p>
        </w:tc>
      </w:tr>
      <w:tr w:rsidR="00921C0E" w14:paraId="2A5352DC" w14:textId="77777777">
        <w:tc>
          <w:tcPr>
            <w:tcW w:w="0" w:type="auto"/>
          </w:tcPr>
          <w:p w14:paraId="2FC52472" w14:textId="77777777" w:rsidR="00921C0E" w:rsidRDefault="00000000">
            <w:pPr>
              <w:pStyle w:val="Compact"/>
            </w:pPr>
            <w:r>
              <w:t>Título de portada y de capítulo</w:t>
            </w:r>
          </w:p>
        </w:tc>
        <w:tc>
          <w:tcPr>
            <w:tcW w:w="0" w:type="auto"/>
          </w:tcPr>
          <w:p w14:paraId="39140859" w14:textId="77777777" w:rsidR="00921C0E" w:rsidRDefault="00000000">
            <w:pPr>
              <w:pStyle w:val="Compact"/>
            </w:pPr>
            <w:r>
              <w:t>Minion Pro (o Adobe Garamond Pro)</w:t>
            </w:r>
          </w:p>
        </w:tc>
        <w:tc>
          <w:tcPr>
            <w:tcW w:w="0" w:type="auto"/>
          </w:tcPr>
          <w:p w14:paraId="50911D7E" w14:textId="77777777" w:rsidR="00921C0E" w:rsidRDefault="00000000">
            <w:pPr>
              <w:pStyle w:val="Compact"/>
            </w:pPr>
            <w:r>
              <w:t>Libertinus Serif</w:t>
            </w:r>
          </w:p>
        </w:tc>
        <w:tc>
          <w:tcPr>
            <w:tcW w:w="0" w:type="auto"/>
          </w:tcPr>
          <w:p w14:paraId="6A253879" w14:textId="77777777" w:rsidR="00921C0E" w:rsidRDefault="00000000">
            <w:pPr>
              <w:pStyle w:val="Compact"/>
            </w:pPr>
            <w:r>
              <w:t>18–22 pt</w:t>
            </w:r>
          </w:p>
        </w:tc>
        <w:tc>
          <w:tcPr>
            <w:tcW w:w="0" w:type="auto"/>
          </w:tcPr>
          <w:p w14:paraId="30F461A9" w14:textId="77777777" w:rsidR="00921C0E" w:rsidRDefault="00000000">
            <w:pPr>
              <w:pStyle w:val="Compact"/>
            </w:pPr>
            <w:r>
              <w:t>Versalitas, regular</w:t>
            </w:r>
          </w:p>
        </w:tc>
      </w:tr>
      <w:tr w:rsidR="00921C0E" w14:paraId="142AF7EB" w14:textId="77777777">
        <w:tc>
          <w:tcPr>
            <w:tcW w:w="0" w:type="auto"/>
          </w:tcPr>
          <w:p w14:paraId="599E79D1" w14:textId="77777777" w:rsidR="00921C0E" w:rsidRDefault="00000000">
            <w:pPr>
              <w:pStyle w:val="Compact"/>
            </w:pPr>
            <w:r>
              <w:t xml:space="preserve">Encabezado de sección </w:t>
            </w:r>
            <w:r>
              <w:rPr>
                <w:rStyle w:val="VerbatimChar"/>
              </w:rPr>
              <w:t>X.Y</w:t>
            </w:r>
          </w:p>
        </w:tc>
        <w:tc>
          <w:tcPr>
            <w:tcW w:w="0" w:type="auto"/>
          </w:tcPr>
          <w:p w14:paraId="2FB43419" w14:textId="77777777" w:rsidR="00921C0E" w:rsidRDefault="00000000">
            <w:pPr>
              <w:pStyle w:val="Compact"/>
            </w:pPr>
            <w:r>
              <w:t>Minion Pro</w:t>
            </w:r>
          </w:p>
        </w:tc>
        <w:tc>
          <w:tcPr>
            <w:tcW w:w="0" w:type="auto"/>
          </w:tcPr>
          <w:p w14:paraId="2F3F6F83" w14:textId="77777777" w:rsidR="00921C0E" w:rsidRDefault="00000000">
            <w:pPr>
              <w:pStyle w:val="Compact"/>
            </w:pPr>
            <w:r>
              <w:t>Libertinus Serif</w:t>
            </w:r>
          </w:p>
        </w:tc>
        <w:tc>
          <w:tcPr>
            <w:tcW w:w="0" w:type="auto"/>
          </w:tcPr>
          <w:p w14:paraId="2FA5B28F" w14:textId="77777777" w:rsidR="00921C0E" w:rsidRDefault="00000000">
            <w:pPr>
              <w:pStyle w:val="Compact"/>
            </w:pPr>
            <w:r>
              <w:t>12–13 pt (+ espacio superior)</w:t>
            </w:r>
          </w:p>
        </w:tc>
        <w:tc>
          <w:tcPr>
            <w:tcW w:w="0" w:type="auto"/>
          </w:tcPr>
          <w:p w14:paraId="02BFD3BF" w14:textId="77777777" w:rsidR="00921C0E" w:rsidRDefault="00000000">
            <w:pPr>
              <w:pStyle w:val="Compact"/>
            </w:pPr>
            <w:r>
              <w:t>Semibold / negrita</w:t>
            </w:r>
          </w:p>
        </w:tc>
      </w:tr>
      <w:tr w:rsidR="00921C0E" w14:paraId="5BE72AFC" w14:textId="77777777">
        <w:tc>
          <w:tcPr>
            <w:tcW w:w="0" w:type="auto"/>
          </w:tcPr>
          <w:p w14:paraId="4F75A852" w14:textId="77777777" w:rsidR="00921C0E" w:rsidRDefault="00000000">
            <w:pPr>
              <w:pStyle w:val="Compact"/>
            </w:pPr>
            <w:r>
              <w:t xml:space="preserve">Subsección </w:t>
            </w:r>
            <w:r>
              <w:rPr>
                <w:rStyle w:val="VerbatimChar"/>
              </w:rPr>
              <w:t>X.Y.Z</w:t>
            </w:r>
          </w:p>
        </w:tc>
        <w:tc>
          <w:tcPr>
            <w:tcW w:w="0" w:type="auto"/>
          </w:tcPr>
          <w:p w14:paraId="6FC73A3D" w14:textId="77777777" w:rsidR="00921C0E" w:rsidRDefault="00000000">
            <w:pPr>
              <w:pStyle w:val="Compact"/>
            </w:pPr>
            <w:r>
              <w:t>Minion Pro</w:t>
            </w:r>
          </w:p>
        </w:tc>
        <w:tc>
          <w:tcPr>
            <w:tcW w:w="0" w:type="auto"/>
          </w:tcPr>
          <w:p w14:paraId="491217F1" w14:textId="77777777" w:rsidR="00921C0E" w:rsidRDefault="00000000">
            <w:pPr>
              <w:pStyle w:val="Compact"/>
            </w:pPr>
            <w:r>
              <w:t>Libertinus Serif</w:t>
            </w:r>
          </w:p>
        </w:tc>
        <w:tc>
          <w:tcPr>
            <w:tcW w:w="0" w:type="auto"/>
          </w:tcPr>
          <w:p w14:paraId="562D540A" w14:textId="77777777" w:rsidR="00921C0E" w:rsidRDefault="00000000">
            <w:pPr>
              <w:pStyle w:val="Compact"/>
            </w:pPr>
            <w:r>
              <w:t>11 pt</w:t>
            </w:r>
          </w:p>
        </w:tc>
        <w:tc>
          <w:tcPr>
            <w:tcW w:w="0" w:type="auto"/>
          </w:tcPr>
          <w:p w14:paraId="23FDD528" w14:textId="77777777" w:rsidR="00921C0E" w:rsidRDefault="00000000">
            <w:pPr>
              <w:pStyle w:val="Compact"/>
            </w:pPr>
            <w:r>
              <w:t>Cursiva</w:t>
            </w:r>
          </w:p>
        </w:tc>
      </w:tr>
      <w:tr w:rsidR="00921C0E" w14:paraId="36CFB4DE" w14:textId="77777777">
        <w:tc>
          <w:tcPr>
            <w:tcW w:w="0" w:type="auto"/>
          </w:tcPr>
          <w:p w14:paraId="4E68DC03" w14:textId="77777777" w:rsidR="00921C0E" w:rsidRDefault="00000000">
            <w:pPr>
              <w:pStyle w:val="Compact"/>
            </w:pPr>
            <w:r>
              <w:t>Cuerpo de texto</w:t>
            </w:r>
          </w:p>
        </w:tc>
        <w:tc>
          <w:tcPr>
            <w:tcW w:w="0" w:type="auto"/>
          </w:tcPr>
          <w:p w14:paraId="27CD5075" w14:textId="77777777" w:rsidR="00921C0E" w:rsidRDefault="00000000">
            <w:pPr>
              <w:pStyle w:val="Compact"/>
            </w:pPr>
            <w:r>
              <w:t>Minion Pro (o Sabon / Garamond)</w:t>
            </w:r>
          </w:p>
        </w:tc>
        <w:tc>
          <w:tcPr>
            <w:tcW w:w="0" w:type="auto"/>
          </w:tcPr>
          <w:p w14:paraId="0A946B87" w14:textId="77777777" w:rsidR="00921C0E" w:rsidRDefault="00000000">
            <w:pPr>
              <w:pStyle w:val="Compact"/>
            </w:pPr>
            <w:r>
              <w:t>Libertinus Serif</w:t>
            </w:r>
          </w:p>
        </w:tc>
        <w:tc>
          <w:tcPr>
            <w:tcW w:w="0" w:type="auto"/>
          </w:tcPr>
          <w:p w14:paraId="7AEDD768" w14:textId="77777777" w:rsidR="00921C0E" w:rsidRDefault="00000000">
            <w:pPr>
              <w:pStyle w:val="Compact"/>
            </w:pPr>
            <w:r>
              <w:t>10.5–11 pt / 14–15 pt</w:t>
            </w:r>
          </w:p>
        </w:tc>
        <w:tc>
          <w:tcPr>
            <w:tcW w:w="0" w:type="auto"/>
          </w:tcPr>
          <w:p w14:paraId="116DA7EC" w14:textId="77777777" w:rsidR="00921C0E" w:rsidRDefault="00000000">
            <w:pPr>
              <w:pStyle w:val="Compact"/>
            </w:pPr>
            <w:r>
              <w:t>Regular (redonda) — NO negrita</w:t>
            </w:r>
          </w:p>
        </w:tc>
      </w:tr>
      <w:tr w:rsidR="00921C0E" w14:paraId="034BE99B" w14:textId="77777777">
        <w:tc>
          <w:tcPr>
            <w:tcW w:w="0" w:type="auto"/>
          </w:tcPr>
          <w:p w14:paraId="595A81F6" w14:textId="77777777" w:rsidR="00921C0E" w:rsidRDefault="00000000">
            <w:pPr>
              <w:pStyle w:val="Compact"/>
            </w:pPr>
            <w:r>
              <w:lastRenderedPageBreak/>
              <w:t>Texto de tablas</w:t>
            </w:r>
          </w:p>
        </w:tc>
        <w:tc>
          <w:tcPr>
            <w:tcW w:w="0" w:type="auto"/>
          </w:tcPr>
          <w:p w14:paraId="0038A7FE" w14:textId="77777777" w:rsidR="00921C0E" w:rsidRDefault="00000000">
            <w:pPr>
              <w:pStyle w:val="Compact"/>
            </w:pPr>
            <w:r>
              <w:rPr>
                <w:b/>
              </w:rPr>
              <w:t>Source Sans 3 (elegida)</w:t>
            </w:r>
          </w:p>
        </w:tc>
        <w:tc>
          <w:tcPr>
            <w:tcW w:w="0" w:type="auto"/>
          </w:tcPr>
          <w:p w14:paraId="189164C9" w14:textId="77777777" w:rsidR="00921C0E" w:rsidRDefault="00000000">
            <w:pPr>
              <w:pStyle w:val="Compact"/>
            </w:pPr>
            <w:r>
              <w:rPr>
                <w:b/>
              </w:rPr>
              <w:t>Source Sans 3 (elegida)</w:t>
            </w:r>
          </w:p>
        </w:tc>
        <w:tc>
          <w:tcPr>
            <w:tcW w:w="0" w:type="auto"/>
          </w:tcPr>
          <w:p w14:paraId="1CD43EA0" w14:textId="77777777" w:rsidR="00921C0E" w:rsidRDefault="00000000">
            <w:pPr>
              <w:pStyle w:val="Compact"/>
            </w:pPr>
            <w:r>
              <w:t>9–9.5 pt / 12 pt</w:t>
            </w:r>
          </w:p>
        </w:tc>
        <w:tc>
          <w:tcPr>
            <w:tcW w:w="0" w:type="auto"/>
          </w:tcPr>
          <w:p w14:paraId="15734C89" w14:textId="77777777" w:rsidR="00921C0E" w:rsidRDefault="00000000">
            <w:pPr>
              <w:pStyle w:val="Compact"/>
            </w:pPr>
            <w:r>
              <w:t>Regular, cifras tabulares</w:t>
            </w:r>
          </w:p>
        </w:tc>
      </w:tr>
      <w:tr w:rsidR="00921C0E" w14:paraId="6439517D" w14:textId="77777777">
        <w:tc>
          <w:tcPr>
            <w:tcW w:w="0" w:type="auto"/>
          </w:tcPr>
          <w:p w14:paraId="124D9DE0" w14:textId="77777777" w:rsidR="00921C0E" w:rsidRDefault="00000000">
            <w:pPr>
              <w:pStyle w:val="Compact"/>
            </w:pPr>
            <w:r>
              <w:t>Cifras numéricas en tablas</w:t>
            </w:r>
          </w:p>
        </w:tc>
        <w:tc>
          <w:tcPr>
            <w:tcW w:w="0" w:type="auto"/>
          </w:tcPr>
          <w:p w14:paraId="46AE678E" w14:textId="77777777" w:rsidR="00921C0E" w:rsidRDefault="00000000">
            <w:pPr>
              <w:pStyle w:val="Compact"/>
            </w:pPr>
            <w:r>
              <w:t>Source Sans 3</w:t>
            </w:r>
          </w:p>
        </w:tc>
        <w:tc>
          <w:tcPr>
            <w:tcW w:w="0" w:type="auto"/>
          </w:tcPr>
          <w:p w14:paraId="2BC78083" w14:textId="77777777" w:rsidR="00921C0E" w:rsidRDefault="00000000">
            <w:pPr>
              <w:pStyle w:val="Compact"/>
            </w:pPr>
            <w:r>
              <w:t>Source Sans 3</w:t>
            </w:r>
          </w:p>
        </w:tc>
        <w:tc>
          <w:tcPr>
            <w:tcW w:w="0" w:type="auto"/>
          </w:tcPr>
          <w:p w14:paraId="1F99F7D6" w14:textId="77777777" w:rsidR="00921C0E" w:rsidRDefault="00000000">
            <w:pPr>
              <w:pStyle w:val="Compact"/>
            </w:pPr>
            <w:r>
              <w:t>igual que la tabla</w:t>
            </w:r>
          </w:p>
        </w:tc>
        <w:tc>
          <w:tcPr>
            <w:tcW w:w="0" w:type="auto"/>
          </w:tcPr>
          <w:p w14:paraId="70C582D6" w14:textId="77777777" w:rsidR="00921C0E" w:rsidRDefault="00000000">
            <w:pPr>
              <w:pStyle w:val="Compact"/>
            </w:pPr>
            <w:r>
              <w:t>Cifras tabulares, alineadas a la derecha</w:t>
            </w:r>
          </w:p>
        </w:tc>
      </w:tr>
      <w:tr w:rsidR="00921C0E" w14:paraId="2C3FE137" w14:textId="77777777">
        <w:tc>
          <w:tcPr>
            <w:tcW w:w="0" w:type="auto"/>
          </w:tcPr>
          <w:p w14:paraId="05F80B18" w14:textId="77777777" w:rsidR="00921C0E" w:rsidRDefault="00000000">
            <w:pPr>
              <w:pStyle w:val="Compact"/>
            </w:pPr>
            <w:r>
              <w:t>Leyendas de figura/tabla</w:t>
            </w:r>
          </w:p>
        </w:tc>
        <w:tc>
          <w:tcPr>
            <w:tcW w:w="0" w:type="auto"/>
          </w:tcPr>
          <w:p w14:paraId="17CE53AA" w14:textId="77777777" w:rsidR="00921C0E" w:rsidRDefault="00000000">
            <w:pPr>
              <w:pStyle w:val="Compact"/>
            </w:pPr>
            <w:r>
              <w:t>Source Sans 3</w:t>
            </w:r>
          </w:p>
        </w:tc>
        <w:tc>
          <w:tcPr>
            <w:tcW w:w="0" w:type="auto"/>
          </w:tcPr>
          <w:p w14:paraId="616C6038" w14:textId="77777777" w:rsidR="00921C0E" w:rsidRDefault="00000000">
            <w:pPr>
              <w:pStyle w:val="Compact"/>
            </w:pPr>
            <w:r>
              <w:t>Source Sans 3</w:t>
            </w:r>
          </w:p>
        </w:tc>
        <w:tc>
          <w:tcPr>
            <w:tcW w:w="0" w:type="auto"/>
          </w:tcPr>
          <w:p w14:paraId="15B43EC8" w14:textId="77777777" w:rsidR="00921C0E" w:rsidRDefault="00000000">
            <w:pPr>
              <w:pStyle w:val="Compact"/>
            </w:pPr>
            <w:r>
              <w:t>8.5–9 pt</w:t>
            </w:r>
          </w:p>
        </w:tc>
        <w:tc>
          <w:tcPr>
            <w:tcW w:w="0" w:type="auto"/>
          </w:tcPr>
          <w:p w14:paraId="3ED92A7D" w14:textId="77777777" w:rsidR="00921C0E" w:rsidRDefault="00000000">
            <w:pPr>
              <w:pStyle w:val="Compact"/>
            </w:pPr>
            <w:r>
              <w:t>Cursiva para nombres científicos</w:t>
            </w:r>
          </w:p>
        </w:tc>
      </w:tr>
      <w:tr w:rsidR="00921C0E" w14:paraId="22FAE20A" w14:textId="77777777">
        <w:tc>
          <w:tcPr>
            <w:tcW w:w="0" w:type="auto"/>
          </w:tcPr>
          <w:p w14:paraId="29AFD2B9" w14:textId="77777777" w:rsidR="00921C0E" w:rsidRDefault="00000000">
            <w:pPr>
              <w:pStyle w:val="Compact"/>
            </w:pPr>
            <w:r>
              <w:t>Código (monoespaciada)</w:t>
            </w:r>
          </w:p>
        </w:tc>
        <w:tc>
          <w:tcPr>
            <w:tcW w:w="0" w:type="auto"/>
          </w:tcPr>
          <w:p w14:paraId="5933D195" w14:textId="77777777" w:rsidR="00921C0E" w:rsidRDefault="00000000">
            <w:pPr>
              <w:pStyle w:val="Compact"/>
            </w:pPr>
            <w:r>
              <w:t>Source Code Pro</w:t>
            </w:r>
          </w:p>
        </w:tc>
        <w:tc>
          <w:tcPr>
            <w:tcW w:w="0" w:type="auto"/>
          </w:tcPr>
          <w:p w14:paraId="33FC1AD2" w14:textId="77777777" w:rsidR="00921C0E" w:rsidRDefault="00000000">
            <w:pPr>
              <w:pStyle w:val="Compact"/>
            </w:pPr>
            <w:r>
              <w:t>JetBrains Mono</w:t>
            </w:r>
          </w:p>
        </w:tc>
        <w:tc>
          <w:tcPr>
            <w:tcW w:w="0" w:type="auto"/>
          </w:tcPr>
          <w:p w14:paraId="699DAE06" w14:textId="77777777" w:rsidR="00921C0E" w:rsidRDefault="00000000">
            <w:pPr>
              <w:pStyle w:val="Compact"/>
            </w:pPr>
            <w:r>
              <w:t>9–9.5 pt</w:t>
            </w:r>
          </w:p>
        </w:tc>
        <w:tc>
          <w:tcPr>
            <w:tcW w:w="0" w:type="auto"/>
          </w:tcPr>
          <w:p w14:paraId="6129FDCF" w14:textId="77777777" w:rsidR="00921C0E" w:rsidRDefault="00000000">
            <w:pPr>
              <w:pStyle w:val="Compact"/>
            </w:pPr>
            <w:r>
              <w:t>Regular</w:t>
            </w:r>
          </w:p>
        </w:tc>
      </w:tr>
    </w:tbl>
    <w:p w14:paraId="0DBE6C6F" w14:textId="77777777" w:rsidR="00921C0E" w:rsidRDefault="00000000">
      <w:pPr>
        <w:pStyle w:val="BodyText"/>
      </w:pPr>
      <w:r>
        <w:t xml:space="preserve">* </w:t>
      </w:r>
      <w:r>
        <w:rPr>
          <w:i/>
        </w:rPr>
        <w:t>Los tamaños son un punto de partida y dependen del tamaño de página final; conviene calibrarlos sobre una prueba real.</w:t>
      </w:r>
    </w:p>
    <w:p w14:paraId="5D5286C9" w14:textId="77777777" w:rsidR="00921C0E" w:rsidRDefault="00000000">
      <w:pPr>
        <w:pStyle w:val="BlockText"/>
      </w:pPr>
      <w:r>
        <w:rPr>
          <w:b/>
        </w:rPr>
        <w:t>Aclaración:</w:t>
      </w:r>
      <w:r>
        <w:t xml:space="preserve"> ninguna fuente de la tabla va en negrita por defecto. El </w:t>
      </w:r>
      <w:r>
        <w:rPr>
          <w:b/>
        </w:rPr>
        <w:t>cuerpo de texto es regular (redonda)</w:t>
      </w:r>
      <w:r>
        <w:t xml:space="preserve">; la negrita se reserva para los encabezados de sección. La </w:t>
      </w:r>
      <w:r>
        <w:rPr>
          <w:b/>
        </w:rPr>
        <w:t>hoja de muestra adjunta</w:t>
      </w:r>
      <w:r>
        <w:t xml:space="preserve"> (</w:t>
      </w:r>
      <w:r>
        <w:rPr>
          <w:rStyle w:val="VerbatimChar"/>
        </w:rPr>
        <w:t>muestra_tipografica.docx</w:t>
      </w:r>
      <w:r>
        <w:t>) presenta cada elemento en su tamaño y estilo reales, con la fuente y el tamaño rotulados al lado.</w:t>
      </w:r>
    </w:p>
    <w:p w14:paraId="4209AA28" w14:textId="77777777" w:rsidR="00921C0E" w:rsidRDefault="00000000">
      <w:pPr>
        <w:pStyle w:val="FirstParagraph"/>
      </w:pPr>
      <w:r>
        <w:t>Notas clave:</w:t>
      </w:r>
    </w:p>
    <w:p w14:paraId="07D191E8" w14:textId="77777777" w:rsidR="00921C0E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b/>
        </w:rPr>
        <w:t>Fuente del cuerpo.</w:t>
      </w:r>
      <w:r>
        <w:t xml:space="preserve"> Sustituir por una fuente de libro pensada para lectura extensa (Minion Pro es el estándar de la industria; Libertinus Serif es la equivalente libre y ya cubre griego/matemático, con lo que </w:t>
      </w:r>
      <w:r>
        <w:rPr>
          <w:b/>
        </w:rPr>
        <w:t>resuelve el problema de la λ</w:t>
      </w:r>
      <w:r>
        <w:t>). Esto es lo que más elevará la percepción de "profesional".</w:t>
      </w:r>
    </w:p>
    <w:p w14:paraId="0DD72ECD" w14:textId="77777777" w:rsidR="00921C0E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b/>
        </w:rPr>
        <w:t>Fuente de las tablas — DECIDIDA: Source Sans 3.</w:t>
      </w:r>
      <w:r>
        <w:t xml:space="preserve"> Tras comparar varias opciones (</w:t>
      </w:r>
      <w:r>
        <w:rPr>
          <w:rStyle w:val="VerbatimChar"/>
        </w:rPr>
        <w:t>comparacion_fuentes_tabla.docx</w:t>
      </w:r>
      <w:r>
        <w:t xml:space="preserve">), se eligió </w:t>
      </w:r>
      <w:r>
        <w:rPr>
          <w:b/>
        </w:rPr>
        <w:t>Source Sans 3</w:t>
      </w:r>
      <w:r>
        <w:t xml:space="preserve">, una sans humanista libre, muy legible y neutra (equivalente libre de Myriad/Frutiger). Especificación: </w:t>
      </w:r>
      <w:r>
        <w:rPr>
          <w:b/>
        </w:rPr>
        <w:t>9–9.5 pt</w:t>
      </w:r>
      <w:r>
        <w:t xml:space="preserve">, </w:t>
      </w:r>
      <w:r>
        <w:rPr>
          <w:b/>
        </w:rPr>
        <w:t>cifras tabulares</w:t>
      </w:r>
      <w:r>
        <w:t xml:space="preserve"> (ancho fijo) para alinear los números, columnas numéricas a la derecha y </w:t>
      </w:r>
      <w:r>
        <w:rPr>
          <w:b/>
        </w:rPr>
        <w:t>aire suficiente entre filas</w:t>
      </w:r>
      <w:r>
        <w:t>. (Se descartaron Libertinus Sans —formas cerradas, menos legible— y cualquier fuente condensada.)</w:t>
      </w:r>
    </w:p>
    <w:p w14:paraId="132B26D2" w14:textId="77777777" w:rsidR="00921C0E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b/>
        </w:rPr>
        <w:t>Coherencia serif + sans + monoespaciada.</w:t>
      </w:r>
      <w:r>
        <w:t xml:space="preserve"> Serif para el cuerpo, sans para tablas/leyendas/rótulos y monoespaciada para código es un sistema de tres voces limpio y profesional; conviene mantenerlo consistente en todo el libro.</w:t>
      </w:r>
    </w:p>
    <w:p w14:paraId="797D108A" w14:textId="77777777" w:rsidR="00921C0E" w:rsidRDefault="00000000">
      <w:pPr>
        <w:pStyle w:val="Compact"/>
        <w:numPr>
          <w:ilvl w:val="0"/>
          <w:numId w:val="2"/>
        </w:numPr>
      </w:pPr>
      <w:r>
        <w:t xml:space="preserve">☐ </w:t>
      </w:r>
      <w:r>
        <w:rPr>
          <w:b/>
        </w:rPr>
        <w:t>Solicitud práctica:</w:t>
      </w:r>
      <w:r>
        <w:t xml:space="preserve"> antes de decidir, pedir al diseño una </w:t>
      </w:r>
      <w:r>
        <w:rPr>
          <w:b/>
        </w:rPr>
        <w:t>hoja de muestra</w:t>
      </w:r>
      <w:r>
        <w:t xml:space="preserve"> con la fuente elegida aplicada a un caso real —una página de texto, la tabla grande de las pp. 16–17, un bloque de código y una leyenda de figura— para evaluarla sobre contenido verdadero.</w:t>
      </w:r>
    </w:p>
    <w:p w14:paraId="4DF07E8F" w14:textId="77777777" w:rsidR="00921C0E" w:rsidRDefault="00000000">
      <w:pPr>
        <w:pStyle w:val="Heading2"/>
      </w:pPr>
      <w:bookmarkStart w:id="2" w:name="Xaa32b920f06a8de8b008883cac47d89299b9b06"/>
      <w:r>
        <w:t>2. Jerarquía y titulares</w:t>
      </w:r>
      <w:bookmarkEnd w:id="2"/>
    </w:p>
    <w:p w14:paraId="1E341A87" w14:textId="77777777" w:rsidR="00921C0E" w:rsidRDefault="00000000">
      <w:pPr>
        <w:pStyle w:val="Compact"/>
        <w:numPr>
          <w:ilvl w:val="0"/>
          <w:numId w:val="3"/>
        </w:numPr>
      </w:pPr>
      <w:r>
        <w:t xml:space="preserve">☐ La jerarquía de encabezados funciona (capítulo centrado en mayúsculas → sección </w:t>
      </w:r>
      <w:r>
        <w:rPr>
          <w:rStyle w:val="VerbatimChar"/>
        </w:rPr>
        <w:t>X.Y</w:t>
      </w:r>
      <w:r>
        <w:t xml:space="preserve"> en negrita → subsección </w:t>
      </w:r>
      <w:r>
        <w:rPr>
          <w:rStyle w:val="VerbatimChar"/>
        </w:rPr>
        <w:t>X.Y.Z</w:t>
      </w:r>
      <w:r>
        <w:t xml:space="preserve"> en cursiva). Sugerencia menor: aumentar el espacio </w:t>
      </w:r>
      <w:r>
        <w:rPr>
          <w:b/>
        </w:rPr>
        <w:t>antes</w:t>
      </w:r>
      <w:r>
        <w:t xml:space="preserve"> de cada encabezado respecto al de después, para que "abra" su bloque.</w:t>
      </w:r>
    </w:p>
    <w:p w14:paraId="4FEA7A12" w14:textId="77777777" w:rsidR="00921C0E" w:rsidRDefault="00000000">
      <w:pPr>
        <w:pStyle w:val="Compact"/>
        <w:numPr>
          <w:ilvl w:val="0"/>
          <w:numId w:val="3"/>
        </w:numPr>
      </w:pPr>
      <w:r>
        <w:lastRenderedPageBreak/>
        <w:t xml:space="preserve">☐ Si se conserva una tipografía display de mucho contraste para los titulares, </w:t>
      </w:r>
      <w:r>
        <w:rPr>
          <w:b/>
        </w:rPr>
        <w:t>verificar que las astas finas no se rompan ni se empasten</w:t>
      </w:r>
      <w:r>
        <w:t xml:space="preserve"> al imprimir según prensa y papel; en cuerpos pequeños las Didone sufren. Un peso algo más robusto evita el problema.</w:t>
      </w:r>
    </w:p>
    <w:p w14:paraId="7159D3E3" w14:textId="77777777" w:rsidR="00921C0E" w:rsidRDefault="00000000">
      <w:pPr>
        <w:pStyle w:val="Heading2"/>
      </w:pPr>
      <w:bookmarkStart w:id="3" w:name="X85cd74d36360e5d70c2ffa035866503d347c694"/>
      <w:r>
        <w:t>3. Numeración y tabla de contenidos</w:t>
      </w:r>
      <w:bookmarkEnd w:id="3"/>
    </w:p>
    <w:p w14:paraId="1E229305" w14:textId="77777777" w:rsidR="00921C0E" w:rsidRDefault="00000000">
      <w:pPr>
        <w:pStyle w:val="Compact"/>
        <w:numPr>
          <w:ilvl w:val="0"/>
          <w:numId w:val="4"/>
        </w:numPr>
      </w:pPr>
      <w:r>
        <w:t xml:space="preserve">☐ </w:t>
      </w:r>
      <w:r>
        <w:rPr>
          <w:b/>
        </w:rPr>
        <w:t>Numeración — RESUELTO.</w:t>
      </w:r>
      <w:r>
        <w:t xml:space="preserve"> En el </w:t>
      </w:r>
      <w:r>
        <w:rPr>
          <w:b/>
        </w:rPr>
        <w:t>índice (tabla de contenidos) se muestran solo dos niveles</w:t>
      </w:r>
      <w:r>
        <w:t xml:space="preserve"> (capítulo.sección; p. ej. 3.1, 3.4), para que quede limpio y consistente entre capítulos. En el </w:t>
      </w:r>
      <w:r>
        <w:rPr>
          <w:b/>
        </w:rPr>
        <w:t>cuerpo del texto se conservan hasta tres niveles</w:t>
      </w:r>
      <w:r>
        <w:t xml:space="preserve"> de encabezado (p. ej. 3.4.1), útiles para las referencias internas, pero esos terceros niveles </w:t>
      </w:r>
      <w:r>
        <w:rPr>
          <w:b/>
        </w:rPr>
        <w:t>no aparecen en el índice</w:t>
      </w:r>
      <w:r>
        <w:t>. (Ya configurado en la fuente; el HTML mantiene tres niveles también en el índice.)</w:t>
      </w:r>
    </w:p>
    <w:p w14:paraId="2F6EDB58" w14:textId="77777777" w:rsidR="00921C0E" w:rsidRDefault="00000000">
      <w:pPr>
        <w:pStyle w:val="Compact"/>
        <w:numPr>
          <w:ilvl w:val="0"/>
          <w:numId w:val="4"/>
        </w:numPr>
      </w:pPr>
      <w:r>
        <w:t>☐ Al completar la paginación, alinear la columna de folios del índice a la derecha de forma consistente.</w:t>
      </w:r>
    </w:p>
    <w:p w14:paraId="4AE17F1B" w14:textId="77777777" w:rsidR="00921C0E" w:rsidRDefault="00000000">
      <w:pPr>
        <w:pStyle w:val="Heading2"/>
      </w:pPr>
      <w:bookmarkStart w:id="4" w:name="X32a97e4ef64f71288a6a5d40c606c95b35627b3"/>
      <w:r>
        <w:t>4. Tablas y leyendas</w:t>
      </w:r>
      <w:bookmarkEnd w:id="4"/>
    </w:p>
    <w:p w14:paraId="47D61B3B" w14:textId="77777777" w:rsidR="00921C0E" w:rsidRDefault="00000000">
      <w:pPr>
        <w:pStyle w:val="Compact"/>
        <w:numPr>
          <w:ilvl w:val="0"/>
          <w:numId w:val="5"/>
        </w:numPr>
      </w:pPr>
      <w:r>
        <w:t xml:space="preserve">☐ Cambiar la </w:t>
      </w:r>
      <w:r>
        <w:rPr>
          <w:b/>
        </w:rPr>
        <w:t>retícula cerrada</w:t>
      </w:r>
      <w:r>
        <w:t xml:space="preserve"> (recuadro con líneas en todas las celdas) por una </w:t>
      </w:r>
      <w:r>
        <w:rPr>
          <w:b/>
        </w:rPr>
        <w:t>retícula abierta</w:t>
      </w:r>
      <w:r>
        <w:t xml:space="preserve"> tipo </w:t>
      </w:r>
      <w:r>
        <w:rPr>
          <w:i/>
        </w:rPr>
        <w:t>booktabs</w:t>
      </w:r>
      <w:r>
        <w:t>: solo filete superior, filete bajo el encabezado y filete inferior, sin líneas verticales. Se lee más limpio y combina con el estilo clásico.</w:t>
      </w:r>
    </w:p>
    <w:p w14:paraId="7BDF79E6" w14:textId="77777777" w:rsidR="00921C0E" w:rsidRDefault="00000000">
      <w:pPr>
        <w:pStyle w:val="Compact"/>
        <w:numPr>
          <w:ilvl w:val="0"/>
          <w:numId w:val="5"/>
        </w:numPr>
      </w:pPr>
      <w:r>
        <w:t xml:space="preserve">☐ Alinear </w:t>
      </w:r>
      <w:r>
        <w:rPr>
          <w:b/>
        </w:rPr>
        <w:t>columnas numéricas a la derecha</w:t>
      </w:r>
      <w:r>
        <w:t xml:space="preserve"> con cifras tabulares y homogeneizar el relleno de las celdas.</w:t>
      </w:r>
    </w:p>
    <w:p w14:paraId="47547A18" w14:textId="77777777" w:rsidR="00921C0E" w:rsidRDefault="00000000">
      <w:pPr>
        <w:pStyle w:val="Compact"/>
        <w:numPr>
          <w:ilvl w:val="0"/>
          <w:numId w:val="5"/>
        </w:numPr>
      </w:pPr>
      <w:r>
        <w:t xml:space="preserve">☐ En tablas que continúan de página, </w:t>
      </w:r>
      <w:r>
        <w:rPr>
          <w:b/>
        </w:rPr>
        <w:t>repetir la fila de encabezado</w:t>
      </w:r>
      <w:r>
        <w:t xml:space="preserve"> y rotular «(continuación)».</w:t>
      </w:r>
    </w:p>
    <w:p w14:paraId="0EDCC935" w14:textId="77777777" w:rsidR="00921C0E" w:rsidRDefault="00000000">
      <w:pPr>
        <w:pStyle w:val="Compact"/>
        <w:numPr>
          <w:ilvl w:val="0"/>
          <w:numId w:val="5"/>
        </w:numPr>
      </w:pPr>
      <w:r>
        <w:t xml:space="preserve">☐ Un </w:t>
      </w:r>
      <w:r>
        <w:rPr>
          <w:b/>
        </w:rPr>
        <w:t>estilo único de leyenda de tabla</w:t>
      </w:r>
      <w:r>
        <w:t xml:space="preserve"> (peso, tamaño, posición encima de la tabla) en todo el libro.</w:t>
      </w:r>
    </w:p>
    <w:p w14:paraId="471FAB9A" w14:textId="77777777" w:rsidR="00921C0E" w:rsidRDefault="00000000">
      <w:pPr>
        <w:pStyle w:val="Heading2"/>
      </w:pPr>
      <w:bookmarkStart w:id="5" w:name="X209f7c94c3e14f5ce3f1588198ed3a68d655950"/>
      <w:r>
        <w:t>5. Imágenes y figuras</w:t>
      </w:r>
      <w:bookmarkEnd w:id="5"/>
    </w:p>
    <w:p w14:paraId="25071960" w14:textId="77777777" w:rsidR="00921C0E" w:rsidRDefault="00000000">
      <w:pPr>
        <w:pStyle w:val="Compact"/>
        <w:numPr>
          <w:ilvl w:val="0"/>
          <w:numId w:val="6"/>
        </w:numPr>
      </w:pPr>
      <w:r>
        <w:t xml:space="preserve">☐ Las </w:t>
      </w:r>
      <w:r>
        <w:rPr>
          <w:b/>
        </w:rPr>
        <w:t>fotografías</w:t>
      </w:r>
      <w:r>
        <w:t xml:space="preserve"> están </w:t>
      </w:r>
      <w:r>
        <w:rPr>
          <w:b/>
        </w:rPr>
        <w:t>demasiado grandes</w:t>
      </w:r>
      <w:r>
        <w:t xml:space="preserve">: no hace falta dedicar una página completa a una foto. Reducir su tamaño y </w:t>
      </w:r>
      <w:r>
        <w:rPr>
          <w:b/>
        </w:rPr>
        <w:t>componer el texto alrededor</w:t>
      </w:r>
      <w:r>
        <w:t xml:space="preserve"> (text wrap) para aprovechar mejor la página y evitar páginas casi vacías. Un tamaño de media caja o menos suele bastar para una foto de especie.</w:t>
      </w:r>
    </w:p>
    <w:p w14:paraId="1C6536F8" w14:textId="77777777" w:rsidR="00921C0E" w:rsidRDefault="00000000">
      <w:pPr>
        <w:pStyle w:val="Compact"/>
        <w:numPr>
          <w:ilvl w:val="0"/>
          <w:numId w:val="6"/>
        </w:numPr>
      </w:pPr>
      <w:r>
        <w:t xml:space="preserve">☐ El </w:t>
      </w:r>
      <w:r>
        <w:rPr>
          <w:b/>
        </w:rPr>
        <w:t>diagrama Fig. 2.2</w:t>
      </w:r>
      <w:r>
        <w:t xml:space="preserve"> está en estilo </w:t>
      </w:r>
      <w:r>
        <w:rPr>
          <w:i/>
        </w:rPr>
        <w:t>clip-art</w:t>
      </w:r>
      <w:r>
        <w:t xml:space="preserve"> (cajas cian, íconos de archivo) que </w:t>
      </w:r>
      <w:r>
        <w:rPr>
          <w:b/>
        </w:rPr>
        <w:t>choca con la tipografía</w:t>
      </w:r>
      <w:r>
        <w:t xml:space="preserve"> del libro y no reproduce bien en B/N. Rediseñarlo en una paleta sobria/escala de grises coherente con el diseño.</w:t>
      </w:r>
    </w:p>
    <w:p w14:paraId="71FA7952" w14:textId="77777777" w:rsidR="00921C0E" w:rsidRDefault="00000000">
      <w:pPr>
        <w:pStyle w:val="Compact"/>
        <w:numPr>
          <w:ilvl w:val="0"/>
          <w:numId w:val="6"/>
        </w:numPr>
      </w:pPr>
      <w:r>
        <w:t xml:space="preserve">☐ Confirmar </w:t>
      </w:r>
      <w:r>
        <w:rPr>
          <w:b/>
        </w:rPr>
        <w:t>≥300 dpi</w:t>
      </w:r>
      <w:r>
        <w:t xml:space="preserve"> en todas las imágenes al tamaño final.</w:t>
      </w:r>
    </w:p>
    <w:p w14:paraId="310D2598" w14:textId="77777777" w:rsidR="00921C0E" w:rsidRDefault="00000000">
      <w:pPr>
        <w:pStyle w:val="Compact"/>
        <w:numPr>
          <w:ilvl w:val="0"/>
          <w:numId w:val="6"/>
        </w:numPr>
      </w:pPr>
      <w:r>
        <w:t xml:space="preserve">☐ Fijar una convención de </w:t>
      </w:r>
      <w:r>
        <w:rPr>
          <w:b/>
        </w:rPr>
        <w:t>acomodo</w:t>
      </w:r>
      <w:r>
        <w:t xml:space="preserve"> (figuras al pie o al inicio) y un </w:t>
      </w:r>
      <w:r>
        <w:rPr>
          <w:b/>
        </w:rPr>
        <w:t>ancho estándar</w:t>
      </w:r>
      <w:r>
        <w:t>, aplicados en todo el libro.</w:t>
      </w:r>
    </w:p>
    <w:p w14:paraId="6067F3C9" w14:textId="77777777" w:rsidR="00921C0E" w:rsidRDefault="00000000">
      <w:pPr>
        <w:pStyle w:val="Compact"/>
        <w:numPr>
          <w:ilvl w:val="0"/>
          <w:numId w:val="6"/>
        </w:numPr>
      </w:pPr>
      <w:r>
        <w:t xml:space="preserve">☐ Unificar el formato de </w:t>
      </w:r>
      <w:r>
        <w:rPr>
          <w:b/>
        </w:rPr>
        <w:t>leyendas de figura</w:t>
      </w:r>
      <w:r>
        <w:t xml:space="preserve"> (rótulo «Figura X.Y», peso, cursiva para nombres científicos).</w:t>
      </w:r>
    </w:p>
    <w:p w14:paraId="0F004F5F" w14:textId="77777777" w:rsidR="00921C0E" w:rsidRDefault="00000000">
      <w:pPr>
        <w:pStyle w:val="Heading2"/>
      </w:pPr>
      <w:bookmarkStart w:id="6" w:name="X0de017df16e5c14ee3c736d3b34d6eeb715156d"/>
      <w:r>
        <w:t>6. Bloques de código (scripts)</w:t>
      </w:r>
      <w:bookmarkEnd w:id="6"/>
    </w:p>
    <w:p w14:paraId="19F1B1D3" w14:textId="77777777" w:rsidR="00921C0E" w:rsidRDefault="00000000">
      <w:pPr>
        <w:pStyle w:val="Compact"/>
        <w:numPr>
          <w:ilvl w:val="0"/>
          <w:numId w:val="7"/>
        </w:numPr>
      </w:pPr>
      <w:r>
        <w:t xml:space="preserve">☐ </w:t>
      </w:r>
      <w:r>
        <w:rPr>
          <w:b/>
        </w:rPr>
        <w:t>Tipografía del código — RESUELTO: JetBrains Mono</w:t>
      </w:r>
      <w:r>
        <w:t xml:space="preserve"> (la misma del libro digital, así impreso y digital coinciden). Requisitos a mantener: distinción clara entre </w:t>
      </w:r>
      <w:r>
        <w:rPr>
          <w:rStyle w:val="VerbatimChar"/>
        </w:rPr>
        <w:t>0</w:t>
      </w:r>
      <w:r>
        <w:t>/</w:t>
      </w:r>
      <w:r>
        <w:rPr>
          <w:rStyle w:val="VerbatimChar"/>
        </w:rPr>
        <w:t>O</w:t>
      </w:r>
      <w:r>
        <w:t xml:space="preserve">, </w:t>
      </w:r>
      <w:r>
        <w:rPr>
          <w:rStyle w:val="VerbatimChar"/>
        </w:rPr>
        <w:lastRenderedPageBreak/>
        <w:t>1</w:t>
      </w:r>
      <w:r>
        <w:t>/</w:t>
      </w:r>
      <w:r>
        <w:rPr>
          <w:rStyle w:val="VerbatimChar"/>
        </w:rPr>
        <w:t>l</w:t>
      </w:r>
      <w:r>
        <w:t>/</w:t>
      </w:r>
      <w:r>
        <w:rPr>
          <w:rStyle w:val="VerbatimChar"/>
        </w:rPr>
        <w:t>I</w:t>
      </w:r>
      <w:r>
        <w:t xml:space="preserve">, </w:t>
      </w:r>
      <w:r>
        <w:rPr>
          <w:rStyle w:val="VerbatimChar"/>
        </w:rPr>
        <w:t>rn</w:t>
      </w:r>
      <w:r>
        <w:t>/</w:t>
      </w:r>
      <w:r>
        <w:rPr>
          <w:rStyle w:val="VerbatimChar"/>
        </w:rPr>
        <w:t>m</w:t>
      </w:r>
      <w:r>
        <w:t xml:space="preserve">; </w:t>
      </w:r>
      <w:r>
        <w:rPr>
          <w:b/>
        </w:rPr>
        <w:t>desactivar las ligaduras de programación</w:t>
      </w:r>
      <w:r>
        <w:t xml:space="preserve"> para que </w:t>
      </w:r>
      <w:r>
        <w:rPr>
          <w:rStyle w:val="VerbatimChar"/>
        </w:rPr>
        <w:t>&lt;-</w:t>
      </w:r>
      <w:r>
        <w:t xml:space="preserve">, </w:t>
      </w:r>
      <w:r>
        <w:rPr>
          <w:rStyle w:val="VerbatimChar"/>
        </w:rPr>
        <w:t>&gt;=</w:t>
      </w:r>
      <w:r>
        <w:t xml:space="preserve">, </w:t>
      </w:r>
      <w:r>
        <w:rPr>
          <w:rStyle w:val="VerbatimChar"/>
        </w:rPr>
        <w:t>%&gt;%</w:t>
      </w:r>
      <w:r>
        <w:t xml:space="preserve"> se impriman como caracteres literales; 9–9.5 pt, un solo tamaño de código en todo el libro.</w:t>
      </w:r>
    </w:p>
    <w:p w14:paraId="683FBBF9" w14:textId="77777777" w:rsidR="00921C0E" w:rsidRDefault="00000000">
      <w:pPr>
        <w:pStyle w:val="Compact"/>
        <w:numPr>
          <w:ilvl w:val="0"/>
          <w:numId w:val="7"/>
        </w:numPr>
      </w:pPr>
      <w:r>
        <w:t xml:space="preserve">☐ Verificar que las </w:t>
      </w:r>
      <w:r>
        <w:rPr>
          <w:b/>
        </w:rPr>
        <w:t>líneas largas de código no se desborden</w:t>
      </w:r>
      <w:r>
        <w:t xml:space="preserve"> de la caja.</w:t>
      </w:r>
    </w:p>
    <w:p w14:paraId="701B34DE" w14:textId="77777777" w:rsidR="00921C0E" w:rsidRDefault="00000000">
      <w:pPr>
        <w:pStyle w:val="Compact"/>
        <w:numPr>
          <w:ilvl w:val="0"/>
          <w:numId w:val="7"/>
        </w:numPr>
      </w:pPr>
      <w:r>
        <w:t>☐ Si el libro se imprime en B/N, usar un coloreado de sintaxis seguro en escala de grises (ver consulta de color, §9).</w:t>
      </w:r>
    </w:p>
    <w:p w14:paraId="5EC81AB0" w14:textId="77777777" w:rsidR="00921C0E" w:rsidRDefault="00000000">
      <w:pPr>
        <w:pStyle w:val="Heading2"/>
      </w:pPr>
      <w:bookmarkStart w:id="7" w:name="X046fe1659f77a22d92e8970cf09fe6e7c7d61f5"/>
      <w:r>
        <w:t>7. Composición del texto</w:t>
      </w:r>
      <w:bookmarkEnd w:id="7"/>
    </w:p>
    <w:p w14:paraId="3DB4BD4F" w14:textId="77777777" w:rsidR="00921C0E" w:rsidRDefault="00000000">
      <w:pPr>
        <w:pStyle w:val="Compact"/>
        <w:numPr>
          <w:ilvl w:val="0"/>
          <w:numId w:val="8"/>
        </w:numPr>
      </w:pPr>
      <w:r>
        <w:t xml:space="preserve">☐ La </w:t>
      </w:r>
      <w:r>
        <w:rPr>
          <w:b/>
        </w:rPr>
        <w:t>justificación general se ve correcta</w:t>
      </w:r>
      <w:r>
        <w:t xml:space="preserve">. Única observación puntual: evitar que se </w:t>
      </w:r>
      <w:r>
        <w:rPr>
          <w:b/>
        </w:rPr>
        <w:t>partan al final de renglón los nombres propios y el código</w:t>
      </w:r>
      <w:r>
        <w:t xml:space="preserve"> (en la prueba aparece «de-COM(P)ADRE» cortado); COMPADRE, raretrans, ggplot2, etc. no deberían dividirse.</w:t>
      </w:r>
    </w:p>
    <w:p w14:paraId="59CF64B4" w14:textId="77777777" w:rsidR="00921C0E" w:rsidRDefault="00000000">
      <w:pPr>
        <w:pStyle w:val="Heading2"/>
      </w:pPr>
      <w:bookmarkStart w:id="8" w:name="X87be1ff7f489ee9f8def0157d3f34a36a5b00b5"/>
      <w:r>
        <w:t>8. Preliminares y aperturas de capítulo</w:t>
      </w:r>
      <w:bookmarkEnd w:id="8"/>
    </w:p>
    <w:p w14:paraId="0457218A" w14:textId="77777777" w:rsidR="00921C0E" w:rsidRDefault="00000000">
      <w:pPr>
        <w:pStyle w:val="Compact"/>
        <w:numPr>
          <w:ilvl w:val="0"/>
          <w:numId w:val="9"/>
        </w:numPr>
      </w:pPr>
      <w:r>
        <w:t xml:space="preserve">☐ Confirmar si el título "flotando" arriba a la derecha en la </w:t>
      </w:r>
      <w:r>
        <w:rPr>
          <w:b/>
        </w:rPr>
        <w:t>portadilla (p. i)</w:t>
      </w:r>
      <w:r>
        <w:t xml:space="preserve"> es intencional.</w:t>
      </w:r>
    </w:p>
    <w:p w14:paraId="1DAE5DF0" w14:textId="77777777" w:rsidR="00921C0E" w:rsidRDefault="00000000">
      <w:pPr>
        <w:pStyle w:val="Compact"/>
        <w:numPr>
          <w:ilvl w:val="0"/>
          <w:numId w:val="9"/>
        </w:numPr>
      </w:pPr>
      <w:r>
        <w:t xml:space="preserve">☐ Confirmar si el filete decorativo solo en la página izquierda de la </w:t>
      </w:r>
      <w:r>
        <w:rPr>
          <w:b/>
        </w:rPr>
        <w:t>portada</w:t>
      </w:r>
      <w:r>
        <w:t xml:space="preserve"> es deliberado (asimetría).</w:t>
      </w:r>
    </w:p>
    <w:p w14:paraId="45567982" w14:textId="77777777" w:rsidR="00921C0E" w:rsidRDefault="00000000">
      <w:pPr>
        <w:pStyle w:val="Compact"/>
        <w:numPr>
          <w:ilvl w:val="0"/>
          <w:numId w:val="9"/>
        </w:numPr>
      </w:pPr>
      <w:r>
        <w:t xml:space="preserve">☐ Aperturas de capítulo sobrias y correctas (bien que </w:t>
      </w:r>
      <w:r>
        <w:rPr>
          <w:b/>
        </w:rPr>
        <w:t>omitan el titulillo</w:t>
      </w:r>
      <w:r>
        <w:t>); si se quiere reforzar el arranque, un tratamiento consistente (más aire o filete).</w:t>
      </w:r>
    </w:p>
    <w:p w14:paraId="21804858" w14:textId="77777777" w:rsidR="00921C0E" w:rsidRDefault="00000000">
      <w:pPr>
        <w:pStyle w:val="Heading2"/>
      </w:pPr>
      <w:bookmarkStart w:id="9" w:name="X8a0f3de15d44993a694f367d8579ebe8c5e873b"/>
      <w:r>
        <w:t>9. Color, folios y varios</w:t>
      </w:r>
      <w:bookmarkEnd w:id="9"/>
    </w:p>
    <w:p w14:paraId="516422D2" w14:textId="77777777" w:rsidR="00921C0E" w:rsidRDefault="00000000">
      <w:pPr>
        <w:pStyle w:val="Compact"/>
        <w:numPr>
          <w:ilvl w:val="0"/>
          <w:numId w:val="10"/>
        </w:numPr>
      </w:pPr>
      <w:r>
        <w:t xml:space="preserve">☐ </w:t>
      </w:r>
      <w:r>
        <w:rPr>
          <w:b/>
        </w:rPr>
        <w:t>Consulta sobre color (aclaración, para confirmar con diseño).</w:t>
      </w:r>
      <w:r>
        <w:t xml:space="preserve"> Conviene confirmar la </w:t>
      </w:r>
      <w:r>
        <w:rPr>
          <w:b/>
        </w:rPr>
        <w:t>política de color del libro</w:t>
      </w:r>
      <w:r>
        <w:t xml:space="preserve"> —a color, B/N, o color solo en pliegos— porque afecta al diagrama Fig. 2.2 (hoy en azul) y al coloreado del código. No es una observación crítica, solo una aclaración para diagramar en consecuencia.</w:t>
      </w:r>
    </w:p>
    <w:p w14:paraId="0998BDBD" w14:textId="77777777" w:rsidR="00921C0E" w:rsidRDefault="00000000">
      <w:pPr>
        <w:pStyle w:val="Compact"/>
        <w:numPr>
          <w:ilvl w:val="0"/>
          <w:numId w:val="10"/>
        </w:numPr>
      </w:pPr>
      <w:r>
        <w:t>☐ Folios centrados al pie: bien.</w:t>
      </w:r>
    </w:p>
    <w:p w14:paraId="43B3C145" w14:textId="77777777" w:rsidR="00921C0E" w:rsidRDefault="00000000">
      <w:pPr>
        <w:pStyle w:val="Compact"/>
        <w:numPr>
          <w:ilvl w:val="0"/>
          <w:numId w:val="10"/>
        </w:numPr>
      </w:pPr>
      <w:r>
        <w:t xml:space="preserve">☐ Considerar un </w:t>
      </w:r>
      <w:r>
        <w:rPr>
          <w:b/>
        </w:rPr>
        <w:t>Índice de figuras / Índice de tablas</w:t>
      </w:r>
      <w:r>
        <w:t xml:space="preserve"> en las preliminares.</w:t>
      </w:r>
    </w:p>
    <w:p w14:paraId="620A4417" w14:textId="77777777" w:rsidR="00921C0E" w:rsidRDefault="00B13DAA">
      <w:r>
        <w:rPr>
          <w:noProof/>
        </w:rPr>
        <w:pict w14:anchorId="53518BEE">
          <v:rect id="_x0000_i1026" alt="" style="width:468pt;height:.05pt;mso-width-percent:0;mso-height-percent:0;mso-width-percent:0;mso-height-percent:0" o:hralign="center" o:hrstd="t" o:hr="t"/>
        </w:pict>
      </w:r>
    </w:p>
    <w:p w14:paraId="7C0ACFAA" w14:textId="77777777" w:rsidR="00921C0E" w:rsidRDefault="00B13DAA">
      <w:r>
        <w:rPr>
          <w:noProof/>
        </w:rPr>
        <w:pict w14:anchorId="144DC8F9">
          <v:rect id="_x0000_i1025" alt="" style="width:468pt;height:.05pt;mso-width-percent:0;mso-height-percent:0;mso-width-percent:0;mso-height-percent:0" o:hralign="center" o:hrstd="t" o:hr="t"/>
        </w:pict>
      </w:r>
    </w:p>
    <w:p w14:paraId="45CDAC83" w14:textId="77777777" w:rsidR="00921C0E" w:rsidRDefault="00000000">
      <w:pPr>
        <w:pStyle w:val="FirstParagraph"/>
      </w:pPr>
      <w:r>
        <w:rPr>
          <w:i/>
        </w:rPr>
        <w:t xml:space="preserve">Nota: los aspectos de contenido (erratas, marcadores de posición, numeración de secciones repetida, dedicatoria y referencias) se documentan por separado en </w:t>
      </w:r>
      <w:r>
        <w:rPr>
          <w:rStyle w:val="VerbatimChar"/>
          <w:i/>
        </w:rPr>
        <w:t>revision_prueba_paginacion_preliminar</w:t>
      </w:r>
      <w:r>
        <w:rPr>
          <w:i/>
        </w:rPr>
        <w:t>, para no mezclarlos con esta revisión de diseño.</w:t>
      </w:r>
    </w:p>
    <w:sectPr w:rsidR="00921C0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2B22" w14:textId="77777777" w:rsidR="00B13DAA" w:rsidRDefault="00B13DAA">
      <w:pPr>
        <w:spacing w:after="0"/>
      </w:pPr>
      <w:r>
        <w:separator/>
      </w:r>
    </w:p>
  </w:endnote>
  <w:endnote w:type="continuationSeparator" w:id="0">
    <w:p w14:paraId="490931B0" w14:textId="77777777" w:rsidR="00B13DAA" w:rsidRDefault="00B13D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C073" w14:textId="77777777" w:rsidR="00B13DAA" w:rsidRDefault="00B13DAA">
      <w:r>
        <w:separator/>
      </w:r>
    </w:p>
  </w:footnote>
  <w:footnote w:type="continuationSeparator" w:id="0">
    <w:p w14:paraId="0CC9BDE0" w14:textId="77777777" w:rsidR="00B13DAA" w:rsidRDefault="00B13D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70A6F5F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0ACEECA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71315DCA"/>
    <w:multiLevelType w:val="multilevel"/>
    <w:tmpl w:val="A75CE19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67931479">
    <w:abstractNumId w:val="1"/>
  </w:num>
  <w:num w:numId="2" w16cid:durableId="2057581544">
    <w:abstractNumId w:val="0"/>
  </w:num>
  <w:num w:numId="3" w16cid:durableId="1628506277">
    <w:abstractNumId w:val="0"/>
  </w:num>
  <w:num w:numId="4" w16cid:durableId="536549719">
    <w:abstractNumId w:val="0"/>
  </w:num>
  <w:num w:numId="5" w16cid:durableId="1600946112">
    <w:abstractNumId w:val="0"/>
  </w:num>
  <w:num w:numId="6" w16cid:durableId="1759674076">
    <w:abstractNumId w:val="0"/>
  </w:num>
  <w:num w:numId="7" w16cid:durableId="534124209">
    <w:abstractNumId w:val="0"/>
  </w:num>
  <w:num w:numId="8" w16cid:durableId="469787663">
    <w:abstractNumId w:val="0"/>
  </w:num>
  <w:num w:numId="9" w16cid:durableId="1009335560">
    <w:abstractNumId w:val="0"/>
  </w:num>
  <w:num w:numId="10" w16cid:durableId="2022462708">
    <w:abstractNumId w:val="0"/>
  </w:num>
  <w:num w:numId="11" w16cid:durableId="1522643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784D58"/>
    <w:rsid w:val="007D5E01"/>
    <w:rsid w:val="008D6863"/>
    <w:rsid w:val="00921C0E"/>
    <w:rsid w:val="00B13DAA"/>
    <w:rsid w:val="00B86B75"/>
    <w:rsid w:val="00BC48D5"/>
    <w:rsid w:val="00C36279"/>
    <w:rsid w:val="00CB7C3E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9077A"/>
  <w15:docId w15:val="{6C7C20CA-067C-C34A-8058-BB94E676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1307</Words>
  <Characters>7451</Characters>
  <Application>Microsoft Office Word</Application>
  <DocSecurity>0</DocSecurity>
  <Lines>62</Lines>
  <Paragraphs>17</Paragraphs>
  <ScaleCrop>false</ScaleCrop>
  <Company/>
  <LinksUpToDate>false</LinksUpToDate>
  <CharactersWithSpaces>8741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Raymond L. Tremblay Lalande</cp:lastModifiedBy>
  <cp:revision>2</cp:revision>
  <dcterms:created xsi:type="dcterms:W3CDTF">2026-07-16T22:52:00Z</dcterms:created>
  <dcterms:modified xsi:type="dcterms:W3CDTF">2026-07-16T23:02:00Z</dcterms:modified>
</cp:coreProperties>
</file>