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Conclusión</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p>
      <w:pPr>
        <w:pStyle w:val="FirstParagraph"/>
      </w:pPr>
      <w:r>
        <w:rPr>
          <w:i/>
          <w:iCs/>
        </w:rPr>
        <w:t xml:space="preserve">Por: Raymond L. Tremblay, Demetria Mondragón y Aucencia Emeterio-Lara</w:t>
      </w:r>
    </w:p>
    <w:p>
      <w:pPr>
        <w:pStyle w:val="BodyText"/>
      </w:pPr>
      <w:r>
        <w:t xml:space="preserve">La gama de acercamientos desarrollada en este libro permite ser utilizado para evaluar una gran diversidad de hipótesis y temas. Pero, sin duda lo más importante no son las técnicas matemáticas sino las preguntas que se pueden responder con la información presentada. Las hipótesis que se presentan desde el punto de vista de conservación, ecología, historia de vida y evolución, son solo ejemplos de preguntas que pueden ser respondidas con los modelos de dinámica poblacional. Gran parte del libro está dedicado a resaltar los métodos cuantitativos y sus limitaciones, reconociendo que para realizar análisis de dinámica poblacional hay que entender todos los pasos y tener presente que, en cualquiera de estos casos, existen errores cuantitativos y de interpretación, que pueden invalidar el trabajo final. Los autores de este libro reconocen que el estudio de la dinámica poblacional es holístico y permite evaluar historias de vida complejas.</w:t>
      </w:r>
    </w:p>
    <w:p>
      <w:pPr>
        <w:pStyle w:val="BodyText"/>
      </w:pPr>
      <w:r>
        <w:t xml:space="preserve">Más allá del catálogo de técnicas, este libro busca cumplir tres funciones que rara vez aparecen reunidas en un mismo texto sobre dinámica poblacional. Primero,</w:t>
      </w:r>
      <w:r>
        <w:t xml:space="preserve"> </w:t>
      </w:r>
      <w:r>
        <w:rPr>
          <w:b/>
          <w:bCs/>
        </w:rPr>
        <w:t xml:space="preserve">traducir al español</w:t>
      </w:r>
      <w:r>
        <w:t xml:space="preserve"> </w:t>
      </w:r>
      <w:r>
        <w:t xml:space="preserve">un conjunto de métodos que, en su mayoría, sólo están documentados en inglés. Segundo,</w:t>
      </w:r>
      <w:r>
        <w:t xml:space="preserve"> </w:t>
      </w:r>
      <w:r>
        <w:rPr>
          <w:b/>
          <w:bCs/>
        </w:rPr>
        <w:t xml:space="preserve">anclar cada método en un ejemplo de orquídeas</w:t>
      </w:r>
      <w:r>
        <w:t xml:space="preserve"> </w:t>
      </w:r>
      <w:r>
        <w:t xml:space="preserve">—un grupo cuya historia de vida (semillas microscópicas, dependencia de micorrizas, longevidad alta, eventos reproductivos raros) pone a prueba los supuestos clásicos del modelado matricial y obliga a tomar decisiones explícitas. Tercero,</w:t>
      </w:r>
      <w:r>
        <w:t xml:space="preserve"> </w:t>
      </w:r>
      <w:r>
        <w:rPr>
          <w:b/>
          <w:bCs/>
        </w:rPr>
        <w:t xml:space="preserve">dar herramientas para diagnosticar la calidad</w:t>
      </w:r>
      <w:r>
        <w:t xml:space="preserve"> </w:t>
      </w:r>
      <w:r>
        <w:t xml:space="preserve">de un análisis matricial poblacional, no sólo para construirlo: los capítulos sobre métodos bayesianos, sobre el protocolo de reporte estandarizado y sobre los impactos de datos sin sentido biológico, en conjunto, ofrecen una vía para que el lector pueda evaluar críticamente su propio trabajo y la literatura existente.</w:t>
      </w:r>
    </w:p>
    <w:p>
      <w:pPr>
        <w:pStyle w:val="BodyText"/>
      </w:pPr>
      <w:r>
        <w:t xml:space="preserve">En esta sección presentamos primero los aportes metodológicos del libro y, a continuación, algunas preguntas principales que pueden ser abordadas en el futuro.</w:t>
      </w:r>
    </w:p>
    <w:bookmarkStart w:id="9" w:name="aportes-metodológicos-del-libro"/>
    <w:p>
      <w:pPr>
        <w:pStyle w:val="Heading2"/>
      </w:pPr>
      <w:r>
        <w:t xml:space="preserve">1 Aportes metodológicos del libro</w:t>
      </w:r>
    </w:p>
    <w:p>
      <w:pPr>
        <w:pStyle w:val="FirstParagraph"/>
      </w:pPr>
      <w:r>
        <w:t xml:space="preserve">Conviene resumir los componentes más singulares del libro y la pregunta a la que cada uno responde:</w:t>
      </w:r>
    </w:p>
    <w:p>
      <w:pPr>
        <w:numPr>
          <w:ilvl w:val="0"/>
          <w:numId w:val="1001"/>
        </w:numPr>
      </w:pPr>
      <w:r>
        <w:rPr>
          <w:b/>
          <w:bCs/>
        </w:rPr>
        <w:t xml:space="preserve">Métodos bayesianos para transiciones raras.</w:t>
      </w:r>
      <w:r>
        <w:t xml:space="preserve"> </w:t>
      </w:r>
      <w:r>
        <w:t xml:space="preserve">Cuando una transición biológicamente posible nunca se observó en el muestreo —por ejemplo, la mortalidad de un adulto longevo o la germinación de una semilla microscópica—, el estimador frecuentista es exactamente cero o uno, lo que produce matrices reducibles, supervivencias perfectas o intervalos de confianza fuera de [0, 1]. Las distribuciones Beta y Dirichlet, combinadas con un previo informado por la literatura, permiten estimar valores que respetan los límites biológicos y propagar la incertidumbre al cálculo de</w:t>
      </w:r>
      <w:r>
        <w:t xml:space="preserve"> </w:t>
      </w:r>
      <m:oMath>
        <m:r>
          <m:t>λ</m:t>
        </m:r>
      </m:oMath>
      <w:r>
        <w:t xml:space="preserve">. Es probablemente la herramienta más útil del libro para especies raras o en peligro</w:t>
      </w:r>
      <w:r>
        <w:t xml:space="preserve"> </w:t>
      </w:r>
      <w:r>
        <w:t xml:space="preserve">(Tremblay et al., 2021)</w:t>
      </w:r>
      <w:r>
        <w:t xml:space="preserve">.</w:t>
      </w:r>
    </w:p>
    <w:p>
      <w:pPr>
        <w:numPr>
          <w:ilvl w:val="0"/>
          <w:numId w:val="1001"/>
        </w:numPr>
      </w:pPr>
      <w:r>
        <w:rPr>
          <w:b/>
          <w:bCs/>
        </w:rPr>
        <w:t xml:space="preserve">Descomposición U / F / C.</w:t>
      </w:r>
      <w:r>
        <w:t xml:space="preserve"> </w:t>
      </w:r>
      <w:r>
        <w:t xml:space="preserve">Separar la matriz A en sus componentes de supervivencia/crecimiento (U), reproducción sexual (F) y reproducción clonal (C) no es sólo cosmético: muchas métricas demográficas derivadas —esperanza de vida, tiempo generacional, edad a primera reproducción, varianza en la reproducción de por vida— sólo pueden calcularse desde las submatrices, no desde A. Es la descomposición que requieren los paquetes</w:t>
      </w:r>
      <w:r>
        <w:t xml:space="preserve"> </w:t>
      </w:r>
      <w:r>
        <w:rPr>
          <w:rStyle w:val="VerbatimChar"/>
        </w:rPr>
        <w:t xml:space="preserve">Rage</w:t>
      </w:r>
      <w:r>
        <w:t xml:space="preserve"> </w:t>
      </w:r>
      <w:r>
        <w:t xml:space="preserve">y los análisis basados en cadenas de Markov absorbentes</w:t>
      </w:r>
      <w:r>
        <w:t xml:space="preserve"> </w:t>
      </w:r>
      <w:r>
        <w:t xml:space="preserve">(</w:t>
      </w:r>
      <w:r>
        <w:t xml:space="preserve">Jones et al.</w:t>
      </w:r>
      <w:r>
        <w:t xml:space="preserve">, 2022)</w:t>
      </w:r>
      <w:r>
        <w:t xml:space="preserve">.</w:t>
      </w:r>
    </w:p>
    <w:p>
      <w:pPr>
        <w:numPr>
          <w:ilvl w:val="0"/>
          <w:numId w:val="1001"/>
        </w:numPr>
      </w:pPr>
      <w:r>
        <w:rPr>
          <w:b/>
          <w:bCs/>
        </w:rPr>
        <w:t xml:space="preserve">Análisis LTRE entre grupos contrastantes.</w:t>
      </w:r>
      <w:r>
        <w:t xml:space="preserve"> </w:t>
      </w:r>
      <w:r>
        <w:t xml:space="preserve">La técnica de Caswell de descomponer una diferencia observada en</w:t>
      </w:r>
      <w:r>
        <w:t xml:space="preserve"> </w:t>
      </w:r>
      <m:oMath>
        <m:r>
          <m:t>λ</m:t>
        </m:r>
      </m:oMath>
      <w:r>
        <w:t xml:space="preserve"> </w:t>
      </w:r>
      <w:r>
        <w:t xml:space="preserve">en contribuciones de las distintas tasas vitales subyacentes es especialmente potente cuando se compara la misma especie en sustratos o ambientes diferentes —como el ejemplo de</w:t>
      </w:r>
      <w:r>
        <w:t xml:space="preserve"> </w:t>
      </w:r>
      <w:r>
        <w:rPr>
          <w:i/>
          <w:iCs/>
        </w:rPr>
        <w:t xml:space="preserve">Lepanthes</w:t>
      </w:r>
      <w:r>
        <w:t xml:space="preserve"> </w:t>
      </w:r>
      <w:r>
        <w:t xml:space="preserve">sobre distintas especies de</w:t>
      </w:r>
      <w:r>
        <w:t xml:space="preserve"> </w:t>
      </w:r>
      <w:r>
        <w:rPr>
          <w:i/>
          <w:iCs/>
        </w:rPr>
        <w:t xml:space="preserve">Quercus</w:t>
      </w:r>
      <w:r>
        <w:t xml:space="preserve"> </w:t>
      </w:r>
      <w:r>
        <w:t xml:space="preserve">(Ramı́rez Martı́nez, 2021)</w:t>
      </w:r>
      <w:r>
        <w:t xml:space="preserve">. La magnitud absoluta de</w:t>
      </w:r>
      <w:r>
        <w:t xml:space="preserve"> </w:t>
      </w:r>
      <m:oMath>
        <m:r>
          <m:t>λ</m:t>
        </m:r>
      </m:oMath>
      <w:r>
        <w:t xml:space="preserve"> </w:t>
      </w:r>
      <w:r>
        <w:t xml:space="preserve">esconde quién está pagando el costo demográfico; el LTRE lo revela.</w:t>
      </w:r>
    </w:p>
    <w:p>
      <w:pPr>
        <w:numPr>
          <w:ilvl w:val="0"/>
          <w:numId w:val="1001"/>
        </w:numPr>
      </w:pPr>
      <w:r>
        <w:rPr>
          <w:b/>
          <w:bCs/>
        </w:rPr>
        <w:t xml:space="preserve">Funciones de transferencia para elasticidad no lineal.</w:t>
      </w:r>
      <w:r>
        <w:t xml:space="preserve"> </w:t>
      </w:r>
      <w:r>
        <w:t xml:space="preserve">Las elasticidades clásicas son válidas sólo para perturbaciones infinitesimales. Cuando la perturbación es grande —una intervención de manejo, una caída drástica de la fecundidad por sequía, una cosecha intensa—, el comportamiento de</w:t>
      </w:r>
      <w:r>
        <w:t xml:space="preserve"> </w:t>
      </w:r>
      <m:oMath>
        <m:r>
          <m:t>λ</m:t>
        </m:r>
      </m:oMath>
      <w:r>
        <w:t xml:space="preserve"> </w:t>
      </w:r>
      <w:r>
        <w:t xml:space="preserve">se vuelve no lineal, y las funciones de transferencia</w:t>
      </w:r>
      <w:r>
        <w:t xml:space="preserve"> </w:t>
      </w:r>
      <w:r>
        <w:t xml:space="preserve">(Stott, Hodgson y Townley, 2012)</w:t>
      </w:r>
      <w:r>
        <w:t xml:space="preserve"> </w:t>
      </w:r>
      <w:r>
        <w:t xml:space="preserve">capturan esa no linealidad de manera explícita.</w:t>
      </w:r>
    </w:p>
    <w:p>
      <w:pPr>
        <w:numPr>
          <w:ilvl w:val="0"/>
          <w:numId w:val="1001"/>
        </w:numPr>
      </w:pPr>
      <w:r>
        <w:rPr>
          <w:b/>
          <w:bCs/>
        </w:rPr>
        <w:t xml:space="preserve">Dinámica transitoria.</w:t>
      </w:r>
      <w:r>
        <w:t xml:space="preserve"> </w:t>
      </w:r>
      <w:r>
        <w:t xml:space="preserve">Buena parte de la teoría matricial se centra en el comportamiento asintótico (</w:t>
      </w:r>
      <m:oMath>
        <m:r>
          <m:t>λ</m:t>
        </m:r>
      </m:oMath>
      <w:r>
        <w:t xml:space="preserve">, distribución estable, valor reproductivo), pero las poblaciones reales —en especial las pequeñas, recientemente perturbadas, o restauradas— viven en el régimen transitorio durante décadas. Las métricas de</w:t>
      </w:r>
      <w:r>
        <w:t xml:space="preserve"> </w:t>
      </w:r>
      <w:r>
        <w:t xml:space="preserve">(Stott, Townley y Hodgson, 2011)</w:t>
      </w:r>
      <w:r>
        <w:t xml:space="preserve"> </w:t>
      </w:r>
      <w:r>
        <w:t xml:space="preserve">(amplificación, atenuación, reactividad) cuantifican qué tan lejos puede alejarse la población del comportamiento asintótico antes de converger a él.</w:t>
      </w:r>
    </w:p>
    <w:p>
      <w:pPr>
        <w:numPr>
          <w:ilvl w:val="0"/>
          <w:numId w:val="1001"/>
        </w:numPr>
      </w:pPr>
      <w:r>
        <w:rPr>
          <w:b/>
          <w:bCs/>
        </w:rPr>
        <w:t xml:space="preserve">Simulaciones estocásticas.</w:t>
      </w:r>
      <w:r>
        <w:t xml:space="preserve"> </w:t>
      </w:r>
      <w:r>
        <w:t xml:space="preserve">La aproximación de Tuljapurkar y la simulación de Cohen ofrecen dos rutas complementarias para incorporar la variabilidad ambiental al cálculo de la tasa de crecimiento. La simulación, aunque más costosa computacionalmente, admite distribuciones arbitrarias de matrices y es indispensable para evaluar el riesgo de cuasi-extinción.</w:t>
      </w:r>
    </w:p>
    <w:p>
      <w:pPr>
        <w:numPr>
          <w:ilvl w:val="0"/>
          <w:numId w:val="1001"/>
        </w:numPr>
      </w:pPr>
      <w:r>
        <w:rPr>
          <w:b/>
          <w:bCs/>
        </w:rPr>
        <w:t xml:space="preserve">Acceso programático a COMPADRE y demografía con</w:t>
      </w:r>
      <w:r>
        <w:rPr>
          <w:b/>
          <w:bCs/>
        </w:rPr>
        <w:t xml:space="preserve"> </w:t>
      </w:r>
      <w:r>
        <w:rPr>
          <w:rStyle w:val="VerbatimChar"/>
          <w:b/>
          <w:bCs/>
        </w:rPr>
        <w:t xml:space="preserve">Rage</w:t>
      </w:r>
      <w:r>
        <w:rPr>
          <w:b/>
          <w:bCs/>
        </w:rPr>
        <w:t xml:space="preserve">.</w:t>
      </w:r>
      <w:r>
        <w:t xml:space="preserve"> </w:t>
      </w:r>
      <w:r>
        <w:t xml:space="preserve">El acceso a más de 8 000 matrices revisadas por pares cambia la escala de las preguntas posibles: en lugar de un solo estudio de caso, hoy son factibles comparaciones filogenéticas, geográficas o por hábitos de vida sobre cientos de especies.</w:t>
      </w:r>
    </w:p>
    <w:p>
      <w:pPr>
        <w:numPr>
          <w:ilvl w:val="0"/>
          <w:numId w:val="1001"/>
        </w:numPr>
      </w:pPr>
      <w:r>
        <w:rPr>
          <w:b/>
          <w:bCs/>
        </w:rPr>
        <w:t xml:space="preserve">Protocolo estandarizado para reportar MPP.</w:t>
      </w:r>
      <w:r>
        <w:t xml:space="preserve"> </w:t>
      </w:r>
      <w:r>
        <w:t xml:space="preserve">La traducción al español del protocolo de Gascoigne et al.</w:t>
      </w:r>
      <w:r>
        <w:t xml:space="preserve"> </w:t>
      </w:r>
      <w:r>
        <w:t xml:space="preserve">(</w:t>
      </w:r>
      <w:r>
        <w:t xml:space="preserve">Gascoigne et al.</w:t>
      </w:r>
      <w:r>
        <w:t xml:space="preserve">, 2023)</w:t>
      </w:r>
      <w:r>
        <w:t xml:space="preserve"> </w:t>
      </w:r>
      <w:r>
        <w:t xml:space="preserve">busca que los datos demográficos producidos en países de habla hispana puedan ser fácilmente integrados a las bases de datos globales y replicados por otros investigadores.</w:t>
      </w:r>
    </w:p>
    <w:p>
      <w:pPr>
        <w:numPr>
          <w:ilvl w:val="0"/>
          <w:numId w:val="1001"/>
        </w:numPr>
      </w:pPr>
      <w:r>
        <w:rPr>
          <w:b/>
          <w:bCs/>
        </w:rPr>
        <w:t xml:space="preserve">Diagnóstico de datos sin sentido biológico.</w:t>
      </w:r>
      <w:r>
        <w:t xml:space="preserve"> </w:t>
      </w:r>
      <w:r>
        <w:t xml:space="preserve">Es uno de los componentes más originales del libro y, en cierto sentido, el más importante: incluso un análisis matemáticamente impecable produce resultados engañosos si los datos no respetan la biología del organismo. El capítulo correspondiente agrupa los errores más frecuentes y, para cada uno, ofrece código R para detectarlos y un camino para corregirlos.</w:t>
      </w:r>
    </w:p>
    <w:p>
      <w:pPr>
        <w:numPr>
          <w:ilvl w:val="0"/>
          <w:numId w:val="1001"/>
        </w:numPr>
      </w:pPr>
      <w:r>
        <w:rPr>
          <w:b/>
          <w:bCs/>
        </w:rPr>
        <w:t xml:space="preserve">Historia y figuras fundadoras.</w:t>
      </w:r>
      <w:r>
        <w:t xml:space="preserve"> </w:t>
      </w:r>
      <w:r>
        <w:t xml:space="preserve">Documentar las raíces del estudio demográfico de orquídeas —en particular el papel de Carl Olaf Tamm— evita que las nuevas generaciones repitan errores ya identificados hace décadas y permite reconocer a quienes establecieron el campo.</w:t>
      </w:r>
    </w:p>
    <w:bookmarkEnd w:id="9"/>
    <w:bookmarkStart w:id="10" w:name="preguntas-ecológicas"/>
    <w:p>
      <w:pPr>
        <w:pStyle w:val="Heading2"/>
      </w:pPr>
      <w:r>
        <w:t xml:space="preserve">2 Preguntas ecológicas</w:t>
      </w:r>
    </w:p>
    <w:p>
      <w:pPr>
        <w:numPr>
          <w:ilvl w:val="0"/>
          <w:numId w:val="1002"/>
        </w:numPr>
      </w:pPr>
      <w:r>
        <w:t xml:space="preserve">Aunque la mayoría de las especies de orquídeas tienen solamente un polinizador, para aquellas que tienen múltiples especies de polinizadores no está claro si esto afecta la dinámica de sus poblaciones</w:t>
      </w:r>
      <w:r>
        <w:t xml:space="preserve"> </w:t>
      </w:r>
      <w:r>
        <w:t xml:space="preserve">(Tremblay, 1992; Ackerman et al., 2025)</w:t>
      </w:r>
      <w:r>
        <w:t xml:space="preserve">. En otras palabras: ¿las especies con múltiples polinizadores tienen una mayor consistencia poblacional al compararlas con las especies con un solo polinizador? Y de ser el caso, ¿cuáles son los factores que lo están promoviendo? Por ejemplo, cuando uno evalúa la diversidad de polinios sobre los polinizadores, esa diversidad pudiese tener repercusiones en la producción de frutos y la calidad de las semillas, y esto a su vez pudiera verse reflejado en las tasas de fecundidad y sobrevivencia de las plántulas, lo que sugiere un efecto sobre la dinámica de las poblaciones. Desafortunadamente, se conoce muy poco sobre el efecto de la diversidad de padres sobre la calidad de las semillas</w:t>
      </w:r>
      <w:r>
        <w:t xml:space="preserve"> </w:t>
      </w:r>
      <w:r>
        <w:t xml:space="preserve">(Tremblay, 1994; Light y MacConaill, 1998)</w:t>
      </w:r>
      <w:r>
        <w:t xml:space="preserve">.</w:t>
      </w:r>
    </w:p>
    <w:p>
      <w:pPr>
        <w:numPr>
          <w:ilvl w:val="0"/>
          <w:numId w:val="1002"/>
        </w:numPr>
      </w:pPr>
      <w:r>
        <w:t xml:space="preserve">Típicamente los modelos están basados en las cifras de reclutamiento que se observan en el laboratorio (</w:t>
      </w:r>
      <w:r>
        <w:rPr>
          <w:i/>
          <w:iCs/>
        </w:rPr>
        <w:t xml:space="preserve">in vitro</w:t>
      </w:r>
      <w:r>
        <w:t xml:space="preserve">), lo cual es una subestimación de la mortandad en el campo y una sobreestimación del potencial de reclutamiento, ya que a dicho valor se le debieran incorporar eventos estocásticos como la proporción de semillas que llegan a un micronicho apropiado para la germinación, la proporción de semillas que germinan bajo las condiciones microambientales en las que se desarrollan, las pérdidas por herbivoría o por desecación, etc. No está claro si esta subestimación es relevante en la dinámica de las especies en ambientes naturales. La evaluación de la germinación de semillas en el campo, dado su pequeño tamaño y la dificultad de detectarlas, así como los protocolos asociados, es un reto que necesita ser explorado con profundidad. Habrá necesidad de evaluar técnicas de germinación</w:t>
      </w:r>
      <w:r>
        <w:t xml:space="preserve"> </w:t>
      </w:r>
      <w:r>
        <w:rPr>
          <w:i/>
          <w:iCs/>
        </w:rPr>
        <w:t xml:space="preserve">in vivo</w:t>
      </w:r>
      <w:r>
        <w:t xml:space="preserve"> </w:t>
      </w:r>
      <w:r>
        <w:t xml:space="preserve">que permitan el monitoreo del reclutamiento a mediano plazo para tener cifras más exactas del número que integra la nueva generación de individuos (plántulas). En general, se conoce muy poco sobre la proporción de las semillas producidas y los valores de germinación en el campo</w:t>
      </w:r>
      <w:r>
        <w:t xml:space="preserve"> </w:t>
      </w:r>
      <w:r>
        <w:t xml:space="preserve">(Ackerman, Sabat y Zimmerman, 1996; Ehrlén y Eriksson, 2000; Batty et al., 2001; Wilcock y Neiland, 2002)</w:t>
      </w:r>
      <w:r>
        <w:t xml:space="preserve">.</w:t>
      </w:r>
    </w:p>
    <w:p>
      <w:pPr>
        <w:numPr>
          <w:ilvl w:val="0"/>
          <w:numId w:val="1002"/>
        </w:numPr>
      </w:pPr>
      <w:r>
        <w:t xml:space="preserve">El efecto de las variables abióticas sobre la historia de vida de las plantas comienza a ser investigado</w:t>
      </w:r>
      <w:r>
        <w:t xml:space="preserve"> </w:t>
      </w:r>
      <w:r>
        <w:t xml:space="preserve">(Morris et al., 2020)</w:t>
      </w:r>
      <w:r>
        <w:t xml:space="preserve">, y su efecto sobre orquídeas es un tema que merece atención. Por ejemplo, ¿cuál es el efecto de los patrones de variación abiótica sobre la persistencia de las poblaciones y su dinámica a largo plazo?</w:t>
      </w:r>
    </w:p>
    <w:p>
      <w:pPr>
        <w:numPr>
          <w:ilvl w:val="0"/>
          <w:numId w:val="1002"/>
        </w:numPr>
      </w:pPr>
      <w:r>
        <w:t xml:space="preserve">Los efectos bióticos tales como la herbivoría, las interacciones con polinizadores, la interacción con árboles forófitos (en el caso de orquídeas epífitas), la diversidad de micorrizas en la raíz de las orquídeas, etc., pudieran influir sobre los parámetros de las matrices de proyección poblacional (MPP), por lo que se necesita explorar a mayor profundidad dichos efectos.</w:t>
      </w:r>
    </w:p>
    <w:p>
      <w:pPr>
        <w:numPr>
          <w:ilvl w:val="0"/>
          <w:numId w:val="1002"/>
        </w:numPr>
      </w:pPr>
      <w:r>
        <w:t xml:space="preserve">Aunque los ecólogos que trabajan con orquídeas reconocen que muchas especies se multiplican clonalmente, aparte de los trabajos de</w:t>
      </w:r>
      <w:r>
        <w:t xml:space="preserve"> </w:t>
      </w:r>
      <w:r>
        <w:rPr>
          <w:i/>
          <w:iCs/>
        </w:rPr>
        <w:t xml:space="preserve">Cypripedium</w:t>
      </w:r>
      <w:r>
        <w:t xml:space="preserve"> </w:t>
      </w:r>
      <w:r>
        <w:t xml:space="preserve">(Garcı́a González, Goñi y Guzmán, 2010)</w:t>
      </w:r>
      <w:r>
        <w:t xml:space="preserve"> </w:t>
      </w:r>
      <w:r>
        <w:t xml:space="preserve">no es evidente su impacto sobre la persistencia y dinámica de estas poblaciones. Muchas otras especies de orquídeas tienen una historia de vida que incluye clonaje, tales como</w:t>
      </w:r>
      <w:r>
        <w:t xml:space="preserve"> </w:t>
      </w:r>
      <w:r>
        <w:rPr>
          <w:i/>
          <w:iCs/>
        </w:rPr>
        <w:t xml:space="preserve">Epidendrum</w:t>
      </w:r>
      <w:r>
        <w:t xml:space="preserve"> </w:t>
      </w:r>
      <w:r>
        <w:t xml:space="preserve">y</w:t>
      </w:r>
      <w:r>
        <w:t xml:space="preserve"> </w:t>
      </w:r>
      <w:r>
        <w:rPr>
          <w:i/>
          <w:iCs/>
        </w:rPr>
        <w:t xml:space="preserve">Artorima</w:t>
      </w:r>
      <w:r>
        <w:t xml:space="preserve">, pero no se ha evaluado su impacto sobre la dinámica poblacional.</w:t>
      </w:r>
    </w:p>
    <w:p>
      <w:pPr>
        <w:numPr>
          <w:ilvl w:val="0"/>
          <w:numId w:val="1002"/>
        </w:numPr>
      </w:pPr>
      <w:r>
        <w:t xml:space="preserve">Los trabajos de orquídeas epífitas han determinado la dinámica poblacional con información de la orquídea, desligada del forófito; sin embargo, considerando que no son plantas con crecimiento independiente del sustrato, ¿de qué manera se puede incluir el efecto o importancia del forófito en los modelos demográficos? El único trabajo que evaluó el efecto del forófito sobre la dinámica poblacional de una orquídea epífita fue el de</w:t>
      </w:r>
      <w:r>
        <w:t xml:space="preserve"> </w:t>
      </w:r>
      <w:r>
        <w:rPr>
          <w:i/>
          <w:iCs/>
        </w:rPr>
        <w:t xml:space="preserve">Oncidium brachyandrum</w:t>
      </w:r>
      <w:r>
        <w:t xml:space="preserve"> </w:t>
      </w:r>
      <w:r>
        <w:t xml:space="preserve">(Ramı́rez Martı́nez, 2021)</w:t>
      </w:r>
      <w:r>
        <w:t xml:space="preserve">, en su tesis doctoral. El efecto de los diferentes hospederos de</w:t>
      </w:r>
      <w:r>
        <w:t xml:space="preserve"> </w:t>
      </w:r>
      <w:r>
        <w:rPr>
          <w:i/>
          <w:iCs/>
        </w:rPr>
        <w:t xml:space="preserve">Quercus</w:t>
      </w:r>
      <w:r>
        <w:t xml:space="preserve"> </w:t>
      </w:r>
      <w:r>
        <w:t xml:space="preserve">es dramático; vea el capítulo de LTRE/ERTV.</w:t>
      </w:r>
    </w:p>
    <w:p>
      <w:pPr>
        <w:numPr>
          <w:ilvl w:val="0"/>
          <w:numId w:val="1002"/>
        </w:numPr>
      </w:pPr>
      <w:r>
        <w:t xml:space="preserve">¿Cuál es la relación de la diversidad micorrízica, el ciclo de vida y la adecuación evolutiva? En otras palabras, ¿individuos con mayor diversidad micorrízica tienen una mayor adecuación evolutiva que individuos con menos diversidad de hongos micorrízicos? O ¿los que tienen un simbionte específico tienen una mayor adecuación evolutiva, influenciando la edad a la primera reproducción o el esfuerzo reproductivo?</w:t>
      </w:r>
    </w:p>
    <w:p>
      <w:pPr>
        <w:numPr>
          <w:ilvl w:val="0"/>
          <w:numId w:val="1002"/>
        </w:numPr>
      </w:pPr>
      <w:r>
        <w:t xml:space="preserve">¿Cómo afectan los eventos climáticos extremos —huracanes, sequías prolongadas, heladas atípicas— las tasas vitales de las orquídeas? El análisis LTRE permite atribuir el cambio observado en</w:t>
      </w:r>
      <w:r>
        <w:t xml:space="preserve"> </w:t>
      </w:r>
      <m:oMath>
        <m:r>
          <m:t>λ</m:t>
        </m:r>
      </m:oMath>
      <w:r>
        <w:t xml:space="preserve"> </w:t>
      </w:r>
      <w:r>
        <w:t xml:space="preserve">después de un evento a las tasas vitales específicas afectadas, y los métodos estocásticos permiten incorporar la frecuencia esperada de tales eventos al cálculo de la tasa de crecimiento promedio en escenarios climáticos futuros.</w:t>
      </w:r>
    </w:p>
    <w:p>
      <w:pPr>
        <w:numPr>
          <w:ilvl w:val="0"/>
          <w:numId w:val="1002"/>
        </w:numPr>
      </w:pPr>
      <w:r>
        <w:t xml:space="preserve">¿Las poblaciones recién colonizadas o restauradas se comportan como predicen sus matrices asintóticas? Las métricas de dinámica transitoria están especialmente diseñadas para responder esta pregunta: una población lejos de su distribución estable de etapas puede crecer o decrecer durante décadas a tasas muy distintas de</w:t>
      </w:r>
      <w:r>
        <w:t xml:space="preserve"> </w:t>
      </w:r>
      <m:oMath>
        <m:r>
          <m:t>λ</m:t>
        </m:r>
      </m:oMath>
      <w:r>
        <w:t xml:space="preserve">, y la magnitud de ese desfase se cuantifica con la reactividad y la amplificación.</w:t>
      </w:r>
    </w:p>
    <w:p>
      <w:pPr>
        <w:numPr>
          <w:ilvl w:val="0"/>
          <w:numId w:val="1002"/>
        </w:numPr>
      </w:pPr>
      <w:r>
        <w:t xml:space="preserve">¿Cómo cambia la dinámica poblacional a lo largo de un gradiente altitudinal o latitudinal? La combinación de COMPADRE con métricas demográficas derivadas de</w:t>
      </w:r>
      <w:r>
        <w:t xml:space="preserve"> </w:t>
      </w:r>
      <w:r>
        <w:rPr>
          <w:rStyle w:val="VerbatimChar"/>
        </w:rPr>
        <w:t xml:space="preserve">Rage</w:t>
      </w:r>
      <w:r>
        <w:t xml:space="preserve"> </w:t>
      </w:r>
      <w:r>
        <w:t xml:space="preserve">permite hoy hacer este tipo de comparaciones a escala continental para los grupos taxonómicos suficientemente representados en la base.</w:t>
      </w:r>
    </w:p>
    <w:bookmarkEnd w:id="10"/>
    <w:bookmarkStart w:id="11" w:name="preguntas-de-conservación"/>
    <w:p>
      <w:pPr>
        <w:pStyle w:val="Heading2"/>
      </w:pPr>
      <w:r>
        <w:t xml:space="preserve">3 Preguntas de conservación</w:t>
      </w:r>
    </w:p>
    <w:p>
      <w:pPr>
        <w:pStyle w:val="FirstParagraph"/>
      </w:pPr>
      <w:r>
        <w:t xml:space="preserve">Las técnicas presentadas en este libro son particularmente potentes para responder preguntas de conservación, dado que la mayoría de las orquídeas tropicales están listadas o son candidatas a estarlo en alguna categoría de amenaza:</w:t>
      </w:r>
    </w:p>
    <w:p>
      <w:pPr>
        <w:numPr>
          <w:ilvl w:val="0"/>
          <w:numId w:val="1003"/>
        </w:numPr>
      </w:pPr>
      <w:r>
        <w:t xml:space="preserve">La gran mayoría de las orquídeas evaluadas por la UICN están clasificadas como</w:t>
      </w:r>
      <w:r>
        <w:t xml:space="preserve"> </w:t>
      </w:r>
      <w:r>
        <w:rPr>
          <w:i/>
          <w:iCs/>
        </w:rPr>
        <w:t xml:space="preserve">Datos Insuficientes</w:t>
      </w:r>
      <w:r>
        <w:t xml:space="preserve">. Las matrices de tipo MPP combinadas con simulación estocástica permiten estimar la</w:t>
      </w:r>
      <w:r>
        <w:t xml:space="preserve"> </w:t>
      </w:r>
      <w:r>
        <w:rPr>
          <w:b/>
          <w:bCs/>
        </w:rPr>
        <w:t xml:space="preserve">probabilidad de cuasi-extinción</w:t>
      </w:r>
      <w:r>
        <w:t xml:space="preserve"> </w:t>
      </w:r>
      <w:r>
        <w:t xml:space="preserve">y los</w:t>
      </w:r>
      <w:r>
        <w:t xml:space="preserve"> </w:t>
      </w:r>
      <w:r>
        <w:rPr>
          <w:b/>
          <w:bCs/>
        </w:rPr>
        <w:t xml:space="preserve">tiempos esperados</w:t>
      </w:r>
      <w:r>
        <w:t xml:space="preserve"> </w:t>
      </w:r>
      <w:r>
        <w:t xml:space="preserve">para alcanzar tamaños críticos, complementando los criterios cualitativos de la UICN con indicadores cuantitativos defendibles.</w:t>
      </w:r>
    </w:p>
    <w:p>
      <w:pPr>
        <w:numPr>
          <w:ilvl w:val="0"/>
          <w:numId w:val="1003"/>
        </w:numPr>
      </w:pPr>
      <w:r>
        <w:t xml:space="preserve">¿Cómo se debe priorizar la inversión limitada en conservación entre etapas del ciclo de vida? La elasticidad y, cuando las perturbaciones son grandes, las funciones de transferencia, identifican qué transición o tasa vital tendría el mayor efecto sobre</w:t>
      </w:r>
      <w:r>
        <w:t xml:space="preserve"> </w:t>
      </w:r>
      <m:oMath>
        <m:r>
          <m:t>λ</m:t>
        </m:r>
      </m:oMath>
      <w:r>
        <w:t xml:space="preserve"> </w:t>
      </w:r>
      <w:r>
        <w:t xml:space="preserve">si se interviniera —por ejemplo, mediante reforzamiento de plántulas, protección de adultos reproductivos o introducción de polinizadores.</w:t>
      </w:r>
    </w:p>
    <w:p>
      <w:pPr>
        <w:numPr>
          <w:ilvl w:val="0"/>
          <w:numId w:val="1003"/>
        </w:numPr>
      </w:pPr>
      <w:r>
        <w:t xml:space="preserve">¿Es viable la cosecha sostenible de una orquídea silvestre? El ejemplo de</w:t>
      </w:r>
      <w:r>
        <w:t xml:space="preserve"> </w:t>
      </w:r>
      <w:r>
        <w:rPr>
          <w:i/>
          <w:iCs/>
        </w:rPr>
        <w:t xml:space="preserve">Euchile karwinskii</w:t>
      </w:r>
      <w:r>
        <w:t xml:space="preserve"> </w:t>
      </w:r>
      <w:r>
        <w:t xml:space="preserve">(Elliott, 2014)</w:t>
      </w:r>
      <w:r>
        <w:t xml:space="preserve"> </w:t>
      </w:r>
      <w:r>
        <w:t xml:space="preserve">muestra cómo el LTRE puede separar el efecto directo de la cosecha sobre la supervivencia adulta del efecto indirecto sobre la fecundidad. La pregunta general —¿cuántos individuos pueden extraerse antes de que</w:t>
      </w:r>
      <w:r>
        <w:t xml:space="preserve"> </w:t>
      </w:r>
      <m:oMath>
        <m:r>
          <m:t>λ</m:t>
        </m:r>
      </m:oMath>
      <w:r>
        <w:t xml:space="preserve"> </w:t>
      </w:r>
      <w:r>
        <w:t xml:space="preserve">caiga por debajo de 1?— es directamente abordable con los métodos del capítulo de funciones de transferencia.</w:t>
      </w:r>
    </w:p>
    <w:p>
      <w:pPr>
        <w:numPr>
          <w:ilvl w:val="0"/>
          <w:numId w:val="1003"/>
        </w:numPr>
      </w:pPr>
      <w:r>
        <w:t xml:space="preserve">Las</w:t>
      </w:r>
      <w:r>
        <w:t xml:space="preserve"> </w:t>
      </w:r>
      <w:r>
        <w:rPr>
          <w:b/>
          <w:bCs/>
        </w:rPr>
        <w:t xml:space="preserve">translocaciones y reintroducciones</w:t>
      </w:r>
      <w:r>
        <w:t xml:space="preserve"> </w:t>
      </w:r>
      <w:r>
        <w:t xml:space="preserve">generan poblaciones con distribuciones de etapas muy alejadas de la estable. Las métricas transitorias permiten predecir si y cuándo la población recuperará un comportamiento asintótico, y por cuánto tiempo se mantendrá vulnerable después del evento de translocación.</w:t>
      </w:r>
    </w:p>
    <w:p>
      <w:pPr>
        <w:numPr>
          <w:ilvl w:val="0"/>
          <w:numId w:val="1003"/>
        </w:numPr>
      </w:pPr>
      <w:r>
        <w:t xml:space="preserve">¿Cómo afectan los disturbios antropogénicos crónicos —fragmentación de bosque, pérdida de polinizadores, calentamiento global— la viabilidad de las poblaciones? La integración de modelos demográficos estructurados con escenarios climáticos</w:t>
      </w:r>
      <w:r>
        <w:t xml:space="preserve"> </w:t>
      </w:r>
      <w:r>
        <w:t xml:space="preserve">(Jenouvrier et al., 2022)</w:t>
      </w:r>
      <w:r>
        <w:t xml:space="preserve"> </w:t>
      </w:r>
      <w:r>
        <w:t xml:space="preserve">es un terreno fértil aún poco explorado en orquídeas.</w:t>
      </w:r>
    </w:p>
    <w:p>
      <w:pPr>
        <w:numPr>
          <w:ilvl w:val="0"/>
          <w:numId w:val="1003"/>
        </w:numPr>
      </w:pPr>
      <w:r>
        <w:t xml:space="preserve">En especies con bancos de semillas potenciales o con etapas de latencia (como muchas orquídeas terrestres templadas), ¿cuál es la contribución del banco de semillas a la persistencia poblacional? Esta pregunta exige los métodos bayesianos del capítulo correspondiente, dado que la transición desde el banco de semillas rara vez se observa directamente y debe inferirse con un previo biológicamente informado.</w:t>
      </w:r>
    </w:p>
    <w:p>
      <w:pPr>
        <w:numPr>
          <w:ilvl w:val="0"/>
          <w:numId w:val="1003"/>
        </w:numPr>
      </w:pPr>
      <w:r>
        <w:t xml:space="preserve">¿Las orquídeas mantenidas</w:t>
      </w:r>
      <w:r>
        <w:t xml:space="preserve"> </w:t>
      </w:r>
      <w:r>
        <w:rPr>
          <w:i/>
          <w:iCs/>
        </w:rPr>
        <w:t xml:space="preserve">ex situ</w:t>
      </w:r>
      <w:r>
        <w:t xml:space="preserve"> </w:t>
      </w:r>
      <w:r>
        <w:t xml:space="preserve">(jardines botánicos, propagación</w:t>
      </w:r>
      <w:r>
        <w:t xml:space="preserve"> </w:t>
      </w:r>
      <w:r>
        <w:rPr>
          <w:i/>
          <w:iCs/>
        </w:rPr>
        <w:t xml:space="preserve">in vitro</w:t>
      </w:r>
      <w:r>
        <w:t xml:space="preserve">) presentan una dinámica poblacional comparable a la de las poblaciones silvestres? El protocolo del capítulo 121 advierte explícitamente que las poblaciones cautivas pueden no reflejar las condiciones naturales, y los MPP permiten cuantificar el sesgo cuando se cuenta con datos de ambos contextos.</w:t>
      </w:r>
    </w:p>
    <w:bookmarkEnd w:id="11"/>
    <w:bookmarkStart w:id="12" w:name="preguntas-de-historia-de-vida"/>
    <w:p>
      <w:pPr>
        <w:pStyle w:val="Heading2"/>
      </w:pPr>
      <w:r>
        <w:t xml:space="preserve">4 Preguntas de historia de vida</w:t>
      </w:r>
    </w:p>
    <w:p>
      <w:pPr>
        <w:numPr>
          <w:ilvl w:val="0"/>
          <w:numId w:val="1004"/>
        </w:numPr>
      </w:pPr>
      <w:r>
        <w:t xml:space="preserve">¿Cuáles son las diferencias y similitudes en la historia de vida de las orquídeas cuando se comparan epífitas, terrestres, litófitas, templadas y tropicales?</w:t>
      </w:r>
    </w:p>
    <w:p>
      <w:pPr>
        <w:numPr>
          <w:ilvl w:val="0"/>
          <w:numId w:val="1004"/>
        </w:numPr>
      </w:pPr>
      <w:r>
        <w:t xml:space="preserve">Aunque hay poca diversidad de epífitas en áreas templadas, no están ausentes; por ejemplo,</w:t>
      </w:r>
      <w:r>
        <w:t xml:space="preserve"> </w:t>
      </w:r>
      <w:r>
        <w:rPr>
          <w:i/>
          <w:iCs/>
        </w:rPr>
        <w:t xml:space="preserve">Sarcochilus australis</w:t>
      </w:r>
      <w:r>
        <w:t xml:space="preserve"> </w:t>
      </w:r>
      <w:r>
        <w:t xml:space="preserve">es una epífita que se encuentra en Australia y Tasmania</w:t>
      </w:r>
      <w:r>
        <w:t xml:space="preserve"> </w:t>
      </w:r>
      <w:r>
        <w:t xml:space="preserve">(Tremblay, 2006)</w:t>
      </w:r>
      <w:r>
        <w:t xml:space="preserve">. En general, las orquídeas epífitas tienen una historia de vida diferente a las terrestres, pero no se ha evaluado si estas diferencias son relevantes para la dinámica poblacional cuando uno considera el ambiente templado versus tropical.</w:t>
      </w:r>
    </w:p>
    <w:p>
      <w:pPr>
        <w:numPr>
          <w:ilvl w:val="0"/>
          <w:numId w:val="1004"/>
        </w:numPr>
      </w:pPr>
      <w:r>
        <w:t xml:space="preserve">La historia de vida de las especies terrestres en áreas templadas ha sido bastante estudiada, pero en ambientes tropicales los estudios son escasos. Los que hemos encontrado son solamente los de</w:t>
      </w:r>
      <w:r>
        <w:t xml:space="preserve"> </w:t>
      </w:r>
      <w:r>
        <w:rPr>
          <w:i/>
          <w:iCs/>
        </w:rPr>
        <w:t xml:space="preserve">Oeceoclades maculata</w:t>
      </w:r>
      <w:r>
        <w:t xml:space="preserve"> </w:t>
      </w:r>
      <w:r>
        <w:t xml:space="preserve">(Riverón-Giró et al., 2019)</w:t>
      </w:r>
      <w:r>
        <w:t xml:space="preserve">,</w:t>
      </w:r>
      <w:r>
        <w:t xml:space="preserve"> </w:t>
      </w:r>
      <w:r>
        <w:rPr>
          <w:i/>
          <w:iCs/>
        </w:rPr>
        <w:t xml:space="preserve">Phaius australis</w:t>
      </w:r>
      <w:r>
        <w:t xml:space="preserve"> </w:t>
      </w:r>
      <w:r>
        <w:t xml:space="preserve">(Simmons, 2016)</w:t>
      </w:r>
      <w:r>
        <w:t xml:space="preserve"> </w:t>
      </w:r>
      <w:r>
        <w:t xml:space="preserve">y</w:t>
      </w:r>
      <w:r>
        <w:t xml:space="preserve"> </w:t>
      </w:r>
      <w:r>
        <w:rPr>
          <w:i/>
          <w:iCs/>
        </w:rPr>
        <w:t xml:space="preserve">Spathoglottis plicata</w:t>
      </w:r>
      <w:r>
        <w:t xml:space="preserve"> </w:t>
      </w:r>
      <w:r>
        <w:t xml:space="preserve">(Falcón, Ackerman y Tremblay, 2017)</w:t>
      </w:r>
      <w:r>
        <w:t xml:space="preserve">. Dado que el ambiente tropical es menos variable en temperatura, ¿qué efecto, si alguno, tiene sobre la historia de vida de las orquídeas terrestres tropicales comparadas con las especies templadas?</w:t>
      </w:r>
    </w:p>
    <w:p>
      <w:pPr>
        <w:numPr>
          <w:ilvl w:val="0"/>
          <w:numId w:val="1004"/>
        </w:numPr>
      </w:pPr>
      <w:r>
        <w:t xml:space="preserve">¿Cómo se comparan los</w:t>
      </w:r>
      <w:r>
        <w:t xml:space="preserve"> </w:t>
      </w:r>
      <w:r>
        <w:rPr>
          <w:b/>
          <w:bCs/>
        </w:rPr>
        <w:t xml:space="preserve">tiempos generacionales</w:t>
      </w:r>
      <w:r>
        <w:t xml:space="preserve"> </w:t>
      </w:r>
      <w:r>
        <w:t xml:space="preserve">y la</w:t>
      </w:r>
      <w:r>
        <w:t xml:space="preserve"> </w:t>
      </w:r>
      <w:r>
        <w:rPr>
          <w:b/>
          <w:bCs/>
        </w:rPr>
        <w:t xml:space="preserve">edad a primera reproducción</w:t>
      </w:r>
      <w:r>
        <w:t xml:space="preserve"> </w:t>
      </w:r>
      <w:r>
        <w:t xml:space="preserve">de las orquídeas con los de otras familias de plantas? Las funciones</w:t>
      </w:r>
      <w:r>
        <w:t xml:space="preserve"> </w:t>
      </w:r>
      <w:r>
        <w:rPr>
          <w:rStyle w:val="VerbatimChar"/>
        </w:rPr>
        <w:t xml:space="preserve">gen_time()</w:t>
      </w:r>
      <w:r>
        <w:t xml:space="preserve"> </w:t>
      </w:r>
      <w:r>
        <w:t xml:space="preserve">y</w:t>
      </w:r>
      <w:r>
        <w:t xml:space="preserve"> </w:t>
      </w:r>
      <w:r>
        <w:rPr>
          <w:rStyle w:val="VerbatimChar"/>
        </w:rPr>
        <w:t xml:space="preserve">mature_age()</w:t>
      </w:r>
      <w:r>
        <w:t xml:space="preserve"> </w:t>
      </w:r>
      <w:r>
        <w:t xml:space="preserve">de</w:t>
      </w:r>
      <w:r>
        <w:t xml:space="preserve"> </w:t>
      </w:r>
      <w:r>
        <w:rPr>
          <w:rStyle w:val="VerbatimChar"/>
        </w:rPr>
        <w:t xml:space="preserve">Rage</w:t>
      </w:r>
      <w:r>
        <w:t xml:space="preserve"> </w:t>
      </w:r>
      <w:r>
        <w:t xml:space="preserve">permiten calcularlos directamente desde las matrices U y F, abriendo análisis comparativos a gran escala con la información ya disponible en COMPADRE.</w:t>
      </w:r>
    </w:p>
    <w:p>
      <w:pPr>
        <w:numPr>
          <w:ilvl w:val="0"/>
          <w:numId w:val="1004"/>
        </w:numPr>
      </w:pPr>
      <w:r>
        <w:t xml:space="preserve">La</w:t>
      </w:r>
      <w:r>
        <w:t xml:space="preserve"> </w:t>
      </w:r>
      <w:r>
        <w:rPr>
          <w:b/>
          <w:bCs/>
        </w:rPr>
        <w:t xml:space="preserve">velocidad de senescencia</w:t>
      </w:r>
      <w:r>
        <w:t xml:space="preserve"> </w:t>
      </w:r>
      <w:r>
        <w:t xml:space="preserve">—cambios en la mortalidad o la fertilidad con la edad o el tamaño— es difícil de medir en organismos longevos como las orquídeas, pero los métodos basados en cadenas de Markov absorbentes a partir de la matriz U permiten estimarla cuando se cuenta con datos de seguimiento individual a largo plazo.</w:t>
      </w:r>
    </w:p>
    <w:p>
      <w:pPr>
        <w:numPr>
          <w:ilvl w:val="0"/>
          <w:numId w:val="1004"/>
        </w:numPr>
      </w:pPr>
      <w:r>
        <w:t xml:space="preserve">¿La inversión reproductiva varía sistemáticamente con el tamaño del individuo, y cómo afecta esto la estructura por etapas? Esta pregunta puede abordarse con el formalismo de la entropía de Keyfitz y la entropía de Demetrius, ambas calculables desde la submatriz U y disponibles en</w:t>
      </w:r>
      <w:r>
        <w:t xml:space="preserve"> </w:t>
      </w:r>
      <w:r>
        <w:rPr>
          <w:rStyle w:val="VerbatimChar"/>
        </w:rPr>
        <w:t xml:space="preserve">Rage</w:t>
      </w:r>
      <w:r>
        <w:t xml:space="preserve">.</w:t>
      </w:r>
    </w:p>
    <w:bookmarkEnd w:id="12"/>
    <w:bookmarkStart w:id="13" w:name="preguntas-evolutivas"/>
    <w:p>
      <w:pPr>
        <w:pStyle w:val="Heading2"/>
      </w:pPr>
      <w:r>
        <w:t xml:space="preserve">5 Preguntas evolutivas</w:t>
      </w:r>
    </w:p>
    <w:p>
      <w:pPr>
        <w:numPr>
          <w:ilvl w:val="0"/>
          <w:numId w:val="1005"/>
        </w:numPr>
      </w:pPr>
      <w:r>
        <w:t xml:space="preserve">¿La historia de vida de los diferentes grupos de orquídeas ha influenciado la diversidad taxonómica?</w:t>
      </w:r>
    </w:p>
    <w:p>
      <w:pPr>
        <w:numPr>
          <w:ilvl w:val="0"/>
          <w:numId w:val="1005"/>
        </w:numPr>
      </w:pPr>
      <w:r>
        <w:t xml:space="preserve">¿Cuál es el impacto de la reproducción clonal sobre la dinámica poblacional y especialmente sobre los procesos evolutivos?</w:t>
      </w:r>
    </w:p>
    <w:p>
      <w:pPr>
        <w:numPr>
          <w:ilvl w:val="0"/>
          <w:numId w:val="1005"/>
        </w:numPr>
      </w:pPr>
      <w:r>
        <w:t xml:space="preserve">¿La velocidad evolutiva es diferente entre una orquídea miniatura o de ramilla, dado que las miniaturas tienen ciclos de vida más cortos y por ende alcanzan una edad reproductiva en menor tiempo?</w:t>
      </w:r>
    </w:p>
    <w:p>
      <w:pPr>
        <w:numPr>
          <w:ilvl w:val="0"/>
          <w:numId w:val="1005"/>
        </w:numPr>
      </w:pPr>
      <w:r>
        <w:t xml:space="preserve">La</w:t>
      </w:r>
      <w:r>
        <w:t xml:space="preserve"> </w:t>
      </w:r>
      <w:r>
        <w:rPr>
          <w:b/>
          <w:bCs/>
        </w:rPr>
        <w:t xml:space="preserve">selección sobre las tasas vitales</w:t>
      </w:r>
      <w:r>
        <w:t xml:space="preserve">, en el sentido de Hamilton (1966) y de Caswell</w:t>
      </w:r>
      <w:r>
        <w:t xml:space="preserve"> </w:t>
      </w:r>
      <w:r>
        <w:t xml:space="preserve">(Caswell, 2001)</w:t>
      </w:r>
      <w:r>
        <w:t xml:space="preserve">, se mide directamente por la sensibilidad de</w:t>
      </w:r>
      <w:r>
        <w:t xml:space="preserve"> </w:t>
      </w:r>
      <m:oMath>
        <m:r>
          <m:t>λ</m:t>
        </m:r>
      </m:oMath>
      <w:r>
        <w:t xml:space="preserve"> </w:t>
      </w:r>
      <w:r>
        <w:t xml:space="preserve">a cambios en cada elemento de la matriz. ¿Coinciden las tasas vitales con mayor sensibilidad con aquellas que muestran menor variación entre poblaciones? Sería evidencia de selección estabilizadora actuando sobre los rasgos demográficamente más importantes.</w:t>
      </w:r>
    </w:p>
    <w:p>
      <w:pPr>
        <w:numPr>
          <w:ilvl w:val="0"/>
          <w:numId w:val="1005"/>
        </w:numPr>
      </w:pPr>
      <w:r>
        <w:t xml:space="preserve">¿Existe</w:t>
      </w:r>
      <w:r>
        <w:t xml:space="preserve"> </w:t>
      </w:r>
      <w:r>
        <w:rPr>
          <w:b/>
          <w:bCs/>
        </w:rPr>
        <w:t xml:space="preserve">diferenciación demográfica local</w:t>
      </w:r>
      <w:r>
        <w:t xml:space="preserve"> </w:t>
      </w:r>
      <w:r>
        <w:t xml:space="preserve">detectable entre poblaciones de la misma especie en hábitats contrastantes? El LTRE ofrece un marco directo para detectarla y cuantificar qué tasas vitales explican la diferenciación.</w:t>
      </w:r>
    </w:p>
    <w:p>
      <w:pPr>
        <w:numPr>
          <w:ilvl w:val="0"/>
          <w:numId w:val="1005"/>
        </w:numPr>
      </w:pPr>
      <w:r>
        <w:t xml:space="preserve">El gradiente entre estrategias</w:t>
      </w:r>
      <w:r>
        <w:t xml:space="preserve"> </w:t>
      </w:r>
      <w:r>
        <w:rPr>
          <w:b/>
          <w:bCs/>
        </w:rPr>
        <w:t xml:space="preserve">iteróparas</w:t>
      </w:r>
      <w:r>
        <w:t xml:space="preserve"> </w:t>
      </w:r>
      <w:r>
        <w:t xml:space="preserve">(reproducción repetida, longevidad alta) y</w:t>
      </w:r>
      <w:r>
        <w:t xml:space="preserve"> </w:t>
      </w:r>
      <w:r>
        <w:rPr>
          <w:b/>
          <w:bCs/>
        </w:rPr>
        <w:t xml:space="preserve">semélparas</w:t>
      </w:r>
      <w:r>
        <w:t xml:space="preserve"> </w:t>
      </w:r>
      <w:r>
        <w:t xml:space="preserve">(un solo evento reproductivo, ciclo corto) se cuantifica con la entropía de Demetrius. Las orquídeas, con su mezcla de longevidad alta y eventos reproductivos altamente variables, son un grupo poco explorado en este eje y podrían arrojar patrones distintos a los de las plantas mejor estudiadas.</w:t>
      </w:r>
    </w:p>
    <w:bookmarkEnd w:id="13"/>
    <w:bookmarkStart w:id="14" w:name="preguntas-metodológicas-pendientes"/>
    <w:p>
      <w:pPr>
        <w:pStyle w:val="Heading2"/>
      </w:pPr>
      <w:r>
        <w:t xml:space="preserve">6 Preguntas metodológicas pendientes</w:t>
      </w:r>
    </w:p>
    <w:p>
      <w:pPr>
        <w:pStyle w:val="FirstParagraph"/>
      </w:pPr>
      <w:r>
        <w:t xml:space="preserve">Aun cuando los métodos presentados en este libro son robustos, varios aspectos del estudio demográfico de orquídeas todavía requieren desarrollo:</w:t>
      </w:r>
    </w:p>
    <w:p>
      <w:pPr>
        <w:numPr>
          <w:ilvl w:val="0"/>
          <w:numId w:val="1006"/>
        </w:numPr>
      </w:pPr>
      <w:r>
        <w:rPr>
          <w:b/>
          <w:bCs/>
        </w:rPr>
        <w:t xml:space="preserve">Inferencia conjunta de transiciones y fecundidad.</w:t>
      </w:r>
      <w:r>
        <w:t xml:space="preserve"> </w:t>
      </w:r>
      <w:r>
        <w:t xml:space="preserve">Los modelos jerárquicos bayesianos permiten estimar simultáneamente todos los parámetros de la matriz acoplados a las covariables ambientales que los explican. Su aplicación sistemática en orquídeas está apenas comenzando</w:t>
      </w:r>
      <w:r>
        <w:t xml:space="preserve"> </w:t>
      </w:r>
      <w:r>
        <w:t xml:space="preserve">(James et al., 2021)</w:t>
      </w:r>
      <w:r>
        <w:t xml:space="preserve">.</w:t>
      </w:r>
    </w:p>
    <w:p>
      <w:pPr>
        <w:numPr>
          <w:ilvl w:val="0"/>
          <w:numId w:val="1006"/>
        </w:numPr>
      </w:pPr>
      <w:r>
        <w:rPr>
          <w:b/>
          <w:bCs/>
        </w:rPr>
        <w:t xml:space="preserve">Modelos de proyección integral (IPM).</w:t>
      </w:r>
      <w:r>
        <w:t xml:space="preserve"> </w:t>
      </w:r>
      <w:r>
        <w:t xml:space="preserve">Cuando el tamaño es continuo en lugar de categorizado en etapas discretas, los Integral Projection Models pueden ser una alternativa más natural y eficiente. Hasta donde sabemos, sólo se han aplicado a unas pocas especies de orquídeas, y la transición desde MPP a IPM es un tema metodológico abierto.</w:t>
      </w:r>
    </w:p>
    <w:p>
      <w:pPr>
        <w:numPr>
          <w:ilvl w:val="0"/>
          <w:numId w:val="1006"/>
        </w:numPr>
      </w:pPr>
      <w:r>
        <w:rPr>
          <w:b/>
          <w:bCs/>
        </w:rPr>
        <w:t xml:space="preserve">Modelos de dos sexos.</w:t>
      </w:r>
      <w:r>
        <w:t xml:space="preserve"> </w:t>
      </w:r>
      <w:r>
        <w:t xml:space="preserve">Como nota el protocolo del capítulo 121, casi toda la demografía está basada en hembras. En orquídeas con polinización dependiente del transporte de polinios masculinos, esta simplificación puede no ser inocente, particularmente cuando la limitación reproductiva proviene de la disponibilidad de polinios y no del número de plantas hembra.</w:t>
      </w:r>
    </w:p>
    <w:p>
      <w:pPr>
        <w:numPr>
          <w:ilvl w:val="0"/>
          <w:numId w:val="1006"/>
        </w:numPr>
      </w:pPr>
      <w:r>
        <w:rPr>
          <w:b/>
          <w:bCs/>
        </w:rPr>
        <w:t xml:space="preserve">Acoplamiento con modelos de hospedero.</w:t>
      </w:r>
      <w:r>
        <w:t xml:space="preserve"> </w:t>
      </w:r>
      <w:r>
        <w:t xml:space="preserve">Para orquídeas epífitas, ningún paquete demográfico actual integra explícitamente la dinámica del forófito. La extensión de los modelos multiestatales</w:t>
      </w:r>
      <w:r>
        <w:t xml:space="preserve"> </w:t>
      </w:r>
      <w:r>
        <w:t xml:space="preserve">(Caswell et al., 2018)</w:t>
      </w:r>
      <w:r>
        <w:t xml:space="preserve"> </w:t>
      </w:r>
      <w:r>
        <w:t xml:space="preserve">ofrece un camino, pero aún sin implementación accesible para usuarios no especialistas.</w:t>
      </w:r>
    </w:p>
    <w:p>
      <w:pPr>
        <w:numPr>
          <w:ilvl w:val="0"/>
          <w:numId w:val="1006"/>
        </w:numPr>
      </w:pPr>
      <w:r>
        <w:rPr>
          <w:b/>
          <w:bCs/>
        </w:rPr>
        <w:t xml:space="preserve">Métodos para etapas crípticas.</w:t>
      </w:r>
      <w:r>
        <w:t xml:space="preserve"> </w:t>
      </w:r>
      <w:r>
        <w:t xml:space="preserve">La latencia, el banco de semillas y los individuos no detectables en el campo siguen siendo difíciles de incorporar sin supuestos fuertes. Las combinaciones de métodos de captura-marca-recaptura multiestado con métodos bayesianos son una vía prometedora</w:t>
      </w:r>
      <w:r>
        <w:t xml:space="preserve"> </w:t>
      </w:r>
      <w:r>
        <w:t xml:space="preserve">(Paniw et al., 2017)</w:t>
      </w:r>
      <w:r>
        <w:t xml:space="preserve"> </w:t>
      </w:r>
      <w:r>
        <w:t xml:space="preserve">pero técnicamente exigentes.</w:t>
      </w:r>
    </w:p>
    <w:p>
      <w:pPr>
        <w:numPr>
          <w:ilvl w:val="0"/>
          <w:numId w:val="1006"/>
        </w:numPr>
      </w:pPr>
      <w:r>
        <w:rPr>
          <w:b/>
          <w:bCs/>
        </w:rPr>
        <w:t xml:space="preserve">Demografía comparada de orquídeas.</w:t>
      </w:r>
      <w:r>
        <w:t xml:space="preserve"> </w:t>
      </w:r>
      <w:r>
        <w:t xml:space="preserve">A pesar del crecimiento de COMPADRE, las orquídeas siguen subrepresentadas frente a su diversidad real. Aumentar el número de especies con MPP publicadas, particularmente del Neotrópico, Sudeste Asiático y África tropical, transformaría las preguntas comparativas y filogenéticas que se pueden plantear.</w:t>
      </w:r>
    </w:p>
    <w:bookmarkEnd w:id="14"/>
    <w:bookmarkStart w:id="15" w:name="Xd7ab34baad598d0f529a35160003156f3d21376"/>
    <w:p>
      <w:pPr>
        <w:pStyle w:val="Heading2"/>
      </w:pPr>
      <w:r>
        <w:t xml:space="preserve">7 Ejemplos de investigación reciente con MPP en orquídeas</w:t>
      </w:r>
    </w:p>
    <w:p>
      <w:pPr>
        <w:pStyle w:val="FirstParagraph"/>
      </w:pPr>
      <w:r>
        <w:t xml:space="preserve">Como ilustración de cómo las herramientas reunidas en este libro están siendo aplicadas hoy por investigadores que inician su carrera en países latinoamericanos, mencionamos dos estudios recientes liderados desde Colombia, ambos sobre orquídeas endémicas amenazadas:</w:t>
      </w:r>
    </w:p>
    <w:p>
      <w:pPr>
        <w:numPr>
          <w:ilvl w:val="0"/>
          <w:numId w:val="1007"/>
        </w:numPr>
      </w:pPr>
      <w:r>
        <w:rPr>
          <w:b/>
          <w:bCs/>
        </w:rPr>
        <w:t xml:space="preserve">Ospina-Calderón, Tremblay, Torres y Flanagan</w:t>
      </w:r>
      <w:r>
        <w:t xml:space="preserve"> </w:t>
      </w:r>
      <w:r>
        <w:t xml:space="preserve">(Ospina-Calderón et al., 2023)</w:t>
      </w:r>
      <w:r>
        <w:t xml:space="preserve"> </w:t>
      </w:r>
      <w:r>
        <w:t xml:space="preserve">estudiaron el efecto de la transformación del hábitat sobre</w:t>
      </w:r>
      <w:r>
        <w:t xml:space="preserve"> </w:t>
      </w:r>
      <w:r>
        <w:rPr>
          <w:i/>
          <w:iCs/>
        </w:rPr>
        <w:t xml:space="preserve">Rodriguezia granadensis</w:t>
      </w:r>
      <w:r>
        <w:t xml:space="preserve">, una orquídea epífita de ramita endémica de Colombia. El trabajo combina</w:t>
      </w:r>
      <w:r>
        <w:t xml:space="preserve"> </w:t>
      </w:r>
      <w:r>
        <w:rPr>
          <w:b/>
          <w:bCs/>
        </w:rPr>
        <w:t xml:space="preserve">un acercamiento bayesiano</w:t>
      </w:r>
      <w:r>
        <w:t xml:space="preserve"> </w:t>
      </w:r>
      <w:r>
        <w:t xml:space="preserve">para estimar las probabilidades de transición,</w:t>
      </w:r>
      <w:r>
        <w:t xml:space="preserve"> </w:t>
      </w:r>
      <w:r>
        <w:rPr>
          <w:b/>
          <w:bCs/>
        </w:rPr>
        <w:t xml:space="preserve">modelos asintóticos con elasticidades</w:t>
      </w:r>
      <w:r>
        <w:t xml:space="preserve">, y</w:t>
      </w:r>
      <w:r>
        <w:t xml:space="preserve"> </w:t>
      </w:r>
      <w:r>
        <w:rPr>
          <w:b/>
          <w:bCs/>
        </w:rPr>
        <w:t xml:space="preserve">dinámica transitoria</w:t>
      </w:r>
      <w:r>
        <w:t xml:space="preserve"> </w:t>
      </w:r>
      <w:r>
        <w:t xml:space="preserve">—exactamente las tres herramientas tratadas en los capítulos 108, 111 y 112— sobre 36 matrices construidas a partir de 4 650 individuos seguidos durante dos años en paisajes contrastantes (cafetales de sombra vs. pastizales). Una de las conclusiones es metodológicamente importante: la presencia aparente de individuos en pastizales puede esconder una dinámica transitoria insostenible, de modo que clasificar una población como saludable a partir de su sola abundancia es engañoso. El análisis transitorio lo revela.</w:t>
      </w:r>
    </w:p>
    <w:p>
      <w:pPr>
        <w:numPr>
          <w:ilvl w:val="0"/>
          <w:numId w:val="1007"/>
        </w:numPr>
      </w:pPr>
      <w:r>
        <w:rPr>
          <w:b/>
          <w:bCs/>
        </w:rPr>
        <w:t xml:space="preserve">Torres Torres, Torres Gonzalez, Flanagan y Ospina-Calderón</w:t>
      </w:r>
      <w:r>
        <w:t xml:space="preserve"> </w:t>
      </w:r>
      <w:r>
        <w:t xml:space="preserve">(Torres Torres et al., 2026)</w:t>
      </w:r>
      <w:r>
        <w:t xml:space="preserve"> </w:t>
      </w:r>
      <w:r>
        <w:t xml:space="preserve">analizaron la dinámica poblacional de</w:t>
      </w:r>
      <w:r>
        <w:t xml:space="preserve"> </w:t>
      </w:r>
      <w:r>
        <w:rPr>
          <w:i/>
          <w:iCs/>
        </w:rPr>
        <w:t xml:space="preserve">Cattleya quadricolor</w:t>
      </w:r>
      <w:r>
        <w:t xml:space="preserve">, una orquídea endémica del bosque seco tropical del valle alto del río Cauca en Colombia, sobre ocho subpoblaciones fragmentadas. El estudio integra</w:t>
      </w:r>
      <w:r>
        <w:t xml:space="preserve"> </w:t>
      </w:r>
      <w:r>
        <w:rPr>
          <w:b/>
          <w:bCs/>
        </w:rPr>
        <w:t xml:space="preserve">análisis asintótico y transitorio</w:t>
      </w:r>
      <w:r>
        <w:t xml:space="preserve"> </w:t>
      </w:r>
      <w:r>
        <w:t xml:space="preserve">con un análisis estructural de los forófitos disponibles, y muestra que en todos los sitios</w:t>
      </w:r>
      <w:r>
        <w:t xml:space="preserve"> </w:t>
      </w:r>
      <m:oMath>
        <m:r>
          <m:t>λ</m:t>
        </m:r>
        <m:r>
          <m:rPr>
            <m:sty m:val="p"/>
          </m:rPr>
          <m:t>&lt;</m:t>
        </m:r>
        <m:r>
          <m:t>1</m:t>
        </m:r>
      </m:oMath>
      <w:r>
        <w:t xml:space="preserve">, con una estructura demográfica fuertemente sesgada hacia adultos y un cuello de botella claro en el reclutamiento. Demuestra de manera explícita el enfoque de «demografía guiando la conservación» descrito en la sección de preguntas de conservación: las prioridades de manejo —protección de adultos, gestión de los forófitos, refuerzo del reclutamiento, programas</w:t>
      </w:r>
      <w:r>
        <w:t xml:space="preserve"> </w:t>
      </w:r>
      <w:r>
        <w:rPr>
          <w:i/>
          <w:iCs/>
        </w:rPr>
        <w:t xml:space="preserve">ex situ</w:t>
      </w:r>
      <w:r>
        <w:t xml:space="preserve">— se identifican subpoblación a partir de los parámetros demográficos.</w:t>
      </w:r>
    </w:p>
    <w:p>
      <w:pPr>
        <w:pStyle w:val="FirstParagraph"/>
      </w:pPr>
      <w:r>
        <w:t xml:space="preserve">Ambos trabajos ejemplifican el tipo de investigación que esperamos que este libro contribuya a multiplicar: estudios técnicamente rigurosos, conceptualmente integrados y enraizados en una pregunta biológica concreta.</w:t>
      </w:r>
    </w:p>
    <w:bookmarkEnd w:id="15"/>
    <w:bookmarkStart w:id="47" w:name="cierre"/>
    <w:p>
      <w:pPr>
        <w:pStyle w:val="Heading2"/>
      </w:pPr>
      <w:r>
        <w:t xml:space="preserve">8 Cierre</w:t>
      </w:r>
    </w:p>
    <w:p>
      <w:pPr>
        <w:pStyle w:val="FirstParagraph"/>
      </w:pPr>
      <w:r>
        <w:t xml:space="preserve">Las preguntas que un investigador puede plantear sobre la dinámica poblacional de las orquídeas exceden con mucho los ejemplos enumerados aquí. Las técnicas de este libro no son fines en sí mismas: son lenguajes para traducir observaciones de campo en inferencias sobre el destino de las poblaciones, su capacidad de respuesta al cambio ambiental, y las presiones selectivas que las moldearon. La validez de cualquier inferencia depende, en última instancia, de la calidad de los datos y de la honestidad con que se reporta su incertidumbre —los temas centrales de los capítulos sobre métodos bayesianos, sobre el protocolo estandarizado de reporte y sobre los impactos de datos sin sentido biológico.</w:t>
      </w:r>
    </w:p>
    <w:p>
      <w:pPr>
        <w:pStyle w:val="BodyText"/>
      </w:pPr>
      <w:r>
        <w:t xml:space="preserve">Los autores esperamos que este libro sirva no sólo como una referencia técnica, sino también como una invitación: el estudio demográfico riguroso de las orquídeas, una de las familias más diversas y a la vez más amenazadas del reino vegetal, está apenas comenzando, y las herramientas para hacerlo —documentadas aquí en español— están al alcance de cualquier investigador con un cuaderno de campo, una población marcada, y una sesión de R abierta. La diversidad de preguntas que pueden ser abordadas con los modelos de dinámica poblacional es amplia y variada, y esperamos que este libro inspire a otros a explorar y responder estas preguntas en el futuro.</w:t>
      </w:r>
    </w:p>
    <w:bookmarkStart w:id="46" w:name="refs"/>
    <w:bookmarkStart w:id="16" w:name="ref-ackerman1996seedling"/>
    <w:p>
      <w:pPr>
        <w:pStyle w:val="Bibliography"/>
      </w:pPr>
      <w:r>
        <w:t xml:space="preserve">Ackerman JD, Sabat A, Zimmerman J. 1996. Seedling establishment in an epiphytic orchid: an experimental study of seed limitation.</w:t>
      </w:r>
      <w:r>
        <w:t xml:space="preserve"> </w:t>
      </w:r>
      <w:r>
        <w:rPr>
          <w:i/>
          <w:iCs/>
        </w:rPr>
        <w:t xml:space="preserve">Oecologia</w:t>
      </w:r>
      <w:r>
        <w:t xml:space="preserve"> </w:t>
      </w:r>
      <w:r>
        <w:t xml:space="preserve">106:192-198.</w:t>
      </w:r>
    </w:p>
    <w:bookmarkEnd w:id="16"/>
    <w:bookmarkStart w:id="17" w:name="ref-ackerman2025persistent"/>
    <w:p>
      <w:pPr>
        <w:pStyle w:val="Bibliography"/>
      </w:pPr>
      <w:r>
        <w:t xml:space="preserve">Ackerman JD, Tremblay R, Arias T, Zotz G, Sharma J, Salazar GA, Kaur J. 2025. Persistent Habitat Instability and Patchiness, Sexual Attraction, Founder Events, Drift and Selection: A Recipe for Rapid Diversification of Orchids.</w:t>
      </w:r>
      <w:r>
        <w:t xml:space="preserve"> </w:t>
      </w:r>
      <w:r>
        <w:rPr>
          <w:i/>
          <w:iCs/>
        </w:rPr>
        <w:t xml:space="preserve">Plants</w:t>
      </w:r>
      <w:r>
        <w:t xml:space="preserve"> </w:t>
      </w:r>
      <w:r>
        <w:t xml:space="preserve">14:1193.</w:t>
      </w:r>
    </w:p>
    <w:bookmarkEnd w:id="17"/>
    <w:bookmarkStart w:id="18" w:name="ref-batty2001constraints"/>
    <w:p>
      <w:pPr>
        <w:pStyle w:val="Bibliography"/>
      </w:pPr>
      <w:r>
        <w:t xml:space="preserve">Batty A, Dixon K, Brundrett M, Sivasithamparam K. 2001. Constraints to symbiotic germination of terrestrial orchid seed in a mediterranean bushland.</w:t>
      </w:r>
      <w:r>
        <w:t xml:space="preserve"> </w:t>
      </w:r>
      <w:r>
        <w:rPr>
          <w:i/>
          <w:iCs/>
        </w:rPr>
        <w:t xml:space="preserve">New</w:t>
      </w:r>
      <w:r>
        <w:rPr>
          <w:i/>
          <w:iCs/>
        </w:rPr>
        <w:t xml:space="preserve"> </w:t>
      </w:r>
      <w:r>
        <w:rPr>
          <w:i/>
          <w:iCs/>
        </w:rPr>
        <w:t xml:space="preserve">P</w:t>
      </w:r>
      <w:r>
        <w:rPr>
          <w:i/>
          <w:iCs/>
        </w:rPr>
        <w:t xml:space="preserve">hytologist</w:t>
      </w:r>
      <w:r>
        <w:t xml:space="preserve"> </w:t>
      </w:r>
      <w:r>
        <w:t xml:space="preserve">152:511-520.</w:t>
      </w:r>
    </w:p>
    <w:bookmarkEnd w:id="18"/>
    <w:bookmarkStart w:id="19"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19"/>
    <w:bookmarkStart w:id="20" w:name="ref-caswell2018age"/>
    <w:p>
      <w:pPr>
        <w:pStyle w:val="Bibliography"/>
      </w:pPr>
      <w:r>
        <w:t xml:space="preserve">Caswell H, Vries C de, Hartemink N, Roth G, Daalen SF van. 2018. Age</w:t>
      </w:r>
      <m:oMath>
        <m:r>
          <m:rPr>
            <m:sty m:val="p"/>
          </m:rPr>
          <m:t>×</m:t>
        </m:r>
      </m:oMath>
      <w:r>
        <w:t xml:space="preserve"> </w:t>
      </w:r>
      <w:r>
        <w:t xml:space="preserve">stage-classified demographic analysis: a comprehensive approach.</w:t>
      </w:r>
      <w:r>
        <w:t xml:space="preserve"> </w:t>
      </w:r>
      <w:r>
        <w:rPr>
          <w:i/>
          <w:iCs/>
        </w:rPr>
        <w:t xml:space="preserve">Ecological Monographs</w:t>
      </w:r>
      <w:r>
        <w:t xml:space="preserve"> </w:t>
      </w:r>
      <w:r>
        <w:t xml:space="preserve">88:560-584.</w:t>
      </w:r>
    </w:p>
    <w:bookmarkEnd w:id="20"/>
    <w:bookmarkStart w:id="21" w:name="ref-ehrlen2000dispersal"/>
    <w:p>
      <w:pPr>
        <w:pStyle w:val="Bibliography"/>
      </w:pPr>
      <w:r>
        <w:t xml:space="preserve">Ehrlén J, Eriksson O. 2000. Dispersal limitation and patch occupancy in forest herbs.</w:t>
      </w:r>
      <w:r>
        <w:t xml:space="preserve"> </w:t>
      </w:r>
      <w:r>
        <w:rPr>
          <w:i/>
          <w:iCs/>
        </w:rPr>
        <w:t xml:space="preserve">Ecology</w:t>
      </w:r>
      <w:r>
        <w:t xml:space="preserve"> </w:t>
      </w:r>
      <w:r>
        <w:t xml:space="preserve">81:1667-1674.</w:t>
      </w:r>
    </w:p>
    <w:bookmarkEnd w:id="21"/>
    <w:bookmarkStart w:id="22" w:name="ref-elliott2014demography"/>
    <w:p>
      <w:pPr>
        <w:pStyle w:val="Bibliography"/>
      </w:pPr>
      <w:r>
        <w:t xml:space="preserve">Elliott DD. 2014. Demography, wild harvest patterns and trade of culturally important species: priorities for management and conservation. Tesis doctoral Thesis. University of Hawaii at Manoa, Honolulu, HI, USA.</w:t>
      </w:r>
    </w:p>
    <w:bookmarkEnd w:id="22"/>
    <w:bookmarkStart w:id="23" w:name="ref-falcon2017quantifying"/>
    <w:p>
      <w:pPr>
        <w:pStyle w:val="Bibliography"/>
      </w:pPr>
      <w:r>
        <w:t xml:space="preserve">Falcón W, Ackerman JD, Tremblay R. 2017. Quantifying how acquired interactions with native and invasive insects influence population growth rates of a non-indigenous plant.</w:t>
      </w:r>
      <w:r>
        <w:t xml:space="preserve"> </w:t>
      </w:r>
      <w:r>
        <w:rPr>
          <w:i/>
          <w:iCs/>
        </w:rPr>
        <w:t xml:space="preserve">Biological Invasions</w:t>
      </w:r>
      <w:r>
        <w:t xml:space="preserve"> </w:t>
      </w:r>
      <w:r>
        <w:t xml:space="preserve">19:895-911.</w:t>
      </w:r>
    </w:p>
    <w:bookmarkEnd w:id="23"/>
    <w:bookmarkStart w:id="24" w:name="ref-garcia2010living"/>
    <w:p>
      <w:pPr>
        <w:pStyle w:val="Bibliography"/>
      </w:pPr>
      <w:r>
        <w:t xml:space="preserve">Garcı́a González MB, Goñi D, Guzmán D. 2010. Living at the Edge: Local versus Positional Factors in the Long-Term Population Dynamics of an Endangered Orchid.</w:t>
      </w:r>
    </w:p>
    <w:bookmarkEnd w:id="24"/>
    <w:bookmarkStart w:id="25" w:name="ref-gascoigne2023standard"/>
    <w:p>
      <w:pPr>
        <w:pStyle w:val="Bibliography"/>
      </w:pPr>
      <w:r>
        <w:t xml:space="preserve">Gascoigne SJ, Rolph S, Sankey D, Nidadavolu N, Stell Pičman AS, Hernández CM, Philpott ME, Salam A, Bernard C, Fenollosa E, others</w:t>
      </w:r>
      <w:r>
        <w:t xml:space="preserve">. 2023. A standard protocol to report discrete stage-structured demographic information.</w:t>
      </w:r>
      <w:r>
        <w:t xml:space="preserve"> </w:t>
      </w:r>
      <w:r>
        <w:rPr>
          <w:i/>
          <w:iCs/>
        </w:rPr>
        <w:t xml:space="preserve">Methods in Ecology and Evolution</w:t>
      </w:r>
      <w:r>
        <w:t xml:space="preserve"> </w:t>
      </w:r>
      <w:r>
        <w:t xml:space="preserve">14:2065-2083.</w:t>
      </w:r>
    </w:p>
    <w:bookmarkEnd w:id="25"/>
    <w:bookmarkStart w:id="26" w:name="ref-james2021bridging"/>
    <w:p>
      <w:pPr>
        <w:pStyle w:val="Bibliography"/>
      </w:pPr>
      <w:r>
        <w:t xml:space="preserve">James TD, Salguero-Gómez R, Jones OR, Childs DZ, Beckerman AP. 2021. Bridging gaps in demographic analysis with phylogenetic imputation.</w:t>
      </w:r>
      <w:r>
        <w:t xml:space="preserve"> </w:t>
      </w:r>
      <w:r>
        <w:rPr>
          <w:i/>
          <w:iCs/>
        </w:rPr>
        <w:t xml:space="preserve">Conservation Biology</w:t>
      </w:r>
      <w:r>
        <w:t xml:space="preserve"> </w:t>
      </w:r>
      <w:r>
        <w:t xml:space="preserve">35:1210-1221.</w:t>
      </w:r>
    </w:p>
    <w:bookmarkEnd w:id="26"/>
    <w:bookmarkStart w:id="27" w:name="ref-jenouvrier2022detecting"/>
    <w:p>
      <w:pPr>
        <w:pStyle w:val="Bibliography"/>
      </w:pPr>
      <w:r>
        <w:t xml:space="preserve">Jenouvrier S, Long MC, Coste CF, Holland M, Gamelon M, Yoccoz NG, Sæther B-E. 2022. Detecting climate signals in populations across life histories.</w:t>
      </w:r>
      <w:r>
        <w:t xml:space="preserve"> </w:t>
      </w:r>
      <w:r>
        <w:rPr>
          <w:i/>
          <w:iCs/>
        </w:rPr>
        <w:t xml:space="preserve">Global Change Biology</w:t>
      </w:r>
      <w:r>
        <w:t xml:space="preserve"> </w:t>
      </w:r>
      <w:r>
        <w:t xml:space="preserve">28:2236-2258.</w:t>
      </w:r>
    </w:p>
    <w:bookmarkEnd w:id="27"/>
    <w:bookmarkStart w:id="28" w:name="ref-jones2022rcompadre"/>
    <w:p>
      <w:pPr>
        <w:pStyle w:val="Bibliography"/>
      </w:pPr>
      <w:r>
        <w:t xml:space="preserve">Jones O, Barks P, Stott I, James T, Levin S, Petry W, Capdevila P, Che-Castaldo J, Jackson J, Römer G, others</w:t>
      </w:r>
      <w:r>
        <w:t xml:space="preserve">. 2022. Rcompadre and Rage—Two R packages to facilitate the use of the COMPADRE and COMADRE databases and calculation of life-history traits from matrix population models.</w:t>
      </w:r>
      <w:r>
        <w:t xml:space="preserve"> </w:t>
      </w:r>
      <w:r>
        <w:rPr>
          <w:i/>
          <w:iCs/>
        </w:rPr>
        <w:t xml:space="preserve">Methods in Ecology and Evolution</w:t>
      </w:r>
      <w:r>
        <w:t xml:space="preserve"> </w:t>
      </w:r>
      <w:r>
        <w:t xml:space="preserve">13:770-781.</w:t>
      </w:r>
    </w:p>
    <w:bookmarkEnd w:id="28"/>
    <w:bookmarkStart w:id="29" w:name="ref-light1998factors"/>
    <w:p>
      <w:pPr>
        <w:pStyle w:val="Bibliography"/>
      </w:pPr>
      <w:r>
        <w:t xml:space="preserve">Light MH, MacConaill M. 1998. Factors affecting germinable seed yield in</w:t>
      </w:r>
      <w:r>
        <w:t xml:space="preserve"> </w:t>
      </w:r>
      <w:r>
        <w:rPr>
          <w:i/>
          <w:iCs/>
        </w:rPr>
        <w:t xml:space="preserve">C</w:t>
      </w:r>
      <w:r>
        <w:rPr>
          <w:i/>
          <w:iCs/>
        </w:rPr>
        <w:t xml:space="preserve">ypripedium calceolus var.</w:t>
      </w:r>
      <w:r>
        <w:rPr>
          <w:i/>
          <w:iCs/>
        </w:rPr>
        <w:t xml:space="preserve"> </w:t>
      </w:r>
      <w:r>
        <w:rPr>
          <w:i/>
          <w:iCs/>
        </w:rPr>
        <w:t xml:space="preserve">p</w:t>
      </w:r>
      <w:r>
        <w:rPr>
          <w:i/>
          <w:iCs/>
        </w:rPr>
        <w:t xml:space="preserve">ubescens</w:t>
      </w:r>
      <w:r>
        <w:t xml:space="preserve"> </w:t>
      </w:r>
      <w:r>
        <w:t xml:space="preserve">(</w:t>
      </w:r>
      <w:r>
        <w:t xml:space="preserve">W</w:t>
      </w:r>
      <w:r>
        <w:t xml:space="preserve">illd.)</w:t>
      </w:r>
      <w:r>
        <w:t xml:space="preserve"> </w:t>
      </w:r>
      <w:r>
        <w:t xml:space="preserve">C</w:t>
      </w:r>
      <w:r>
        <w:t xml:space="preserve">orrell and</w:t>
      </w:r>
      <w:r>
        <w:t xml:space="preserve"> </w:t>
      </w:r>
      <w:r>
        <w:rPr>
          <w:i/>
          <w:iCs/>
        </w:rPr>
        <w:t xml:space="preserve">E</w:t>
      </w:r>
      <w:r>
        <w:rPr>
          <w:i/>
          <w:iCs/>
        </w:rPr>
        <w:t xml:space="preserve">pipactis helleborine</w:t>
      </w:r>
      <w:r>
        <w:t xml:space="preserve"> </w:t>
      </w:r>
      <w:r>
        <w:t xml:space="preserve">(</w:t>
      </w:r>
      <w:r>
        <w:t xml:space="preserve">L</w:t>
      </w:r>
      <w:r>
        <w:t xml:space="preserve">.)</w:t>
      </w:r>
      <w:r>
        <w:t xml:space="preserve"> </w:t>
      </w:r>
      <w:r>
        <w:t xml:space="preserve">C</w:t>
      </w:r>
      <w:r>
        <w:t xml:space="preserve">rantz (</w:t>
      </w:r>
      <w:r>
        <w:t xml:space="preserve">O</w:t>
      </w:r>
      <w:r>
        <w:t xml:space="preserve">rchidaceae).</w:t>
      </w:r>
      <w:r>
        <w:t xml:space="preserve"> </w:t>
      </w:r>
      <w:r>
        <w:rPr>
          <w:i/>
          <w:iCs/>
        </w:rPr>
        <w:t xml:space="preserve">Botanical Journal of the Linnean Society</w:t>
      </w:r>
      <w:r>
        <w:t xml:space="preserve"> </w:t>
      </w:r>
      <w:r>
        <w:t xml:space="preserve">126:3-26.</w:t>
      </w:r>
    </w:p>
    <w:bookmarkEnd w:id="29"/>
    <w:bookmarkStart w:id="30" w:name="ref-morris2020biotic"/>
    <w:p>
      <w:pPr>
        <w:pStyle w:val="Bibliography"/>
      </w:pPr>
      <w:r>
        <w:t xml:space="preserve">Morris WF, Ehrlén J, Dahlgren JP, Loomis AK, Louthan AM. 2020. Biotic and anthropogenic forces rival climatic/abiotic factors in determining global plant population growth and fitness.</w:t>
      </w:r>
      <w:r>
        <w:t xml:space="preserve"> </w:t>
      </w:r>
      <w:r>
        <w:rPr>
          <w:i/>
          <w:iCs/>
        </w:rPr>
        <w:t xml:space="preserve">Proceedings of the National Academy of Sciences</w:t>
      </w:r>
      <w:r>
        <w:t xml:space="preserve"> </w:t>
      </w:r>
      <w:r>
        <w:t xml:space="preserve">117:1107-1112.</w:t>
      </w:r>
    </w:p>
    <w:bookmarkEnd w:id="30"/>
    <w:bookmarkStart w:id="32" w:name="ref-ospina2023effect"/>
    <w:p>
      <w:pPr>
        <w:pStyle w:val="Bibliography"/>
      </w:pPr>
      <w:r>
        <w:t xml:space="preserve">Ospina-Calderón NH, Tremblay RL, Torres AM, Flanagan NS. 2023. The effect of habitat transformation on a twig epiphytic orchid: Evidence from population dynamics.</w:t>
      </w:r>
      <w:r>
        <w:t xml:space="preserve"> </w:t>
      </w:r>
      <w:r>
        <w:rPr>
          <w:i/>
          <w:iCs/>
        </w:rPr>
        <w:t xml:space="preserve">Frontiers in Ecology and Evolution</w:t>
      </w:r>
      <w:r>
        <w:t xml:space="preserve"> </w:t>
      </w:r>
      <w:r>
        <w:t xml:space="preserve">11:1135316. DOI:</w:t>
      </w:r>
      <w:r>
        <w:t xml:space="preserve"> </w:t>
      </w:r>
      <w:hyperlink r:id="rId31">
        <w:r>
          <w:rPr>
            <w:rStyle w:val="Hyperlink"/>
          </w:rPr>
          <w:t xml:space="preserve">10.3389/fevo.2023.1135316</w:t>
        </w:r>
      </w:hyperlink>
      <w:r>
        <w:t xml:space="preserve">.</w:t>
      </w:r>
    </w:p>
    <w:bookmarkEnd w:id="32"/>
    <w:bookmarkStart w:id="33" w:name="ref-paniw2017accounting"/>
    <w:p>
      <w:pPr>
        <w:pStyle w:val="Bibliography"/>
      </w:pPr>
      <w:r>
        <w:t xml:space="preserve">Paniw M, Quintana-Ascencio PF, Ojeda F, Salguero-Gómez R. 2017. Accounting for uncertainty in dormant life stages in stochastic demographic models.</w:t>
      </w:r>
      <w:r>
        <w:t xml:space="preserve"> </w:t>
      </w:r>
      <w:r>
        <w:rPr>
          <w:i/>
          <w:iCs/>
        </w:rPr>
        <w:t xml:space="preserve">Oikos</w:t>
      </w:r>
      <w:r>
        <w:t xml:space="preserve"> </w:t>
      </w:r>
      <w:r>
        <w:t xml:space="preserve">126:900-909.</w:t>
      </w:r>
    </w:p>
    <w:bookmarkEnd w:id="33"/>
    <w:bookmarkStart w:id="34" w:name="ref-ramirez2021host"/>
    <w:p>
      <w:pPr>
        <w:pStyle w:val="Bibliography"/>
      </w:pPr>
      <w:r>
        <w:t xml:space="preserve">Ramı́rez Martı́nez A. 2021. Host tree effect on demography and phenology of epiphytic species. Tesis doctoral Thesis. Instituto Polit</w:t>
      </w:r>
      <w:r>
        <w:t xml:space="preserve">é</w:t>
      </w:r>
      <w:r>
        <w:t xml:space="preserve">cnico Nacional. Centro Interdisciplinario de Investigaci</w:t>
      </w:r>
      <w:r>
        <w:t xml:space="preserve">ó</w:t>
      </w:r>
      <w:r>
        <w:t xml:space="preserve">n.</w:t>
      </w:r>
    </w:p>
    <w:bookmarkEnd w:id="34"/>
    <w:bookmarkStart w:id="35" w:name="ref-riveron2019spatio"/>
    <w:p>
      <w:pPr>
        <w:pStyle w:val="Bibliography"/>
      </w:pPr>
      <w:r>
        <w:t xml:space="preserve">Riverón-Giró FB, Raventós J, Damon A, Garcı́a-González A, Mújica E. 2019. Spatio-temporal dynamics of the invasive orchid</w:t>
      </w:r>
      <w:r>
        <w:t xml:space="preserve"> </w:t>
      </w:r>
      <w:r>
        <w:rPr>
          <w:i/>
          <w:iCs/>
        </w:rPr>
        <w:t xml:space="preserve">O</w:t>
      </w:r>
      <w:r>
        <w:rPr>
          <w:i/>
          <w:iCs/>
        </w:rPr>
        <w:t xml:space="preserve">eceoclades</w:t>
      </w:r>
      <w:r>
        <w:rPr>
          <w:i/>
          <w:iCs/>
        </w:rPr>
        <w:t xml:space="preserve"> </w:t>
      </w:r>
      <w:r>
        <w:rPr>
          <w:i/>
          <w:iCs/>
        </w:rPr>
        <w:t xml:space="preserve">m</w:t>
      </w:r>
      <w:r>
        <w:rPr>
          <w:i/>
          <w:iCs/>
        </w:rPr>
        <w:t xml:space="preserve">aculata</w:t>
      </w:r>
      <w:r>
        <w:t xml:space="preserve"> </w:t>
      </w:r>
      <w:r>
        <w:t xml:space="preserve">(</w:t>
      </w:r>
      <w:r>
        <w:t xml:space="preserve">O</w:t>
      </w:r>
      <w:r>
        <w:t xml:space="preserve">rchidaceae), in four different habitats in southeast</w:t>
      </w:r>
      <w:r>
        <w:t xml:space="preserve"> </w:t>
      </w:r>
      <w:r>
        <w:t xml:space="preserve">C</w:t>
      </w:r>
      <w:r>
        <w:t xml:space="preserve">hiapas,</w:t>
      </w:r>
      <w:r>
        <w:t xml:space="preserve"> </w:t>
      </w:r>
      <w:r>
        <w:t xml:space="preserve">M</w:t>
      </w:r>
      <w:r>
        <w:t xml:space="preserve">exico.</w:t>
      </w:r>
      <w:r>
        <w:t xml:space="preserve"> </w:t>
      </w:r>
      <w:r>
        <w:rPr>
          <w:i/>
          <w:iCs/>
        </w:rPr>
        <w:t xml:space="preserve">Biological Invasions</w:t>
      </w:r>
      <w:r>
        <w:t xml:space="preserve"> </w:t>
      </w:r>
      <w:r>
        <w:t xml:space="preserve">21:1905-1919.</w:t>
      </w:r>
    </w:p>
    <w:bookmarkEnd w:id="35"/>
    <w:bookmarkStart w:id="36" w:name="ref-simmons2016Viability"/>
    <w:p>
      <w:pPr>
        <w:pStyle w:val="Bibliography"/>
      </w:pPr>
      <w:r>
        <w:t xml:space="preserve">Simmons C. 2016. Conservation genetics and population viability of the endangered swamp orchid</w:t>
      </w:r>
      <w:r>
        <w:t xml:space="preserve"> </w:t>
      </w:r>
      <w:r>
        <w:rPr>
          <w:i/>
          <w:iCs/>
        </w:rPr>
        <w:t xml:space="preserve">P</w:t>
      </w:r>
      <w:r>
        <w:rPr>
          <w:i/>
          <w:iCs/>
        </w:rPr>
        <w:t xml:space="preserve">haius</w:t>
      </w:r>
      <w:r>
        <w:rPr>
          <w:i/>
          <w:iCs/>
        </w:rPr>
        <w:t xml:space="preserve"> </w:t>
      </w:r>
      <w:r>
        <w:rPr>
          <w:i/>
          <w:iCs/>
        </w:rPr>
        <w:t xml:space="preserve">a</w:t>
      </w:r>
      <w:r>
        <w:rPr>
          <w:i/>
          <w:iCs/>
        </w:rPr>
        <w:t xml:space="preserve">ustralis</w:t>
      </w:r>
      <w:r>
        <w:t xml:space="preserve"> </w:t>
      </w:r>
      <w:r>
        <w:t xml:space="preserve">(</w:t>
      </w:r>
      <w:r>
        <w:t xml:space="preserve">O</w:t>
      </w:r>
      <w:r>
        <w:t xml:space="preserve">rchidaceae) in a changing world. Tesis doctoral Thesis. Faculty of Science, Health, Education; Engineering, University of the Sunshine Coast, Queensland, Australia: University of the Sunshine Coast.</w:t>
      </w:r>
    </w:p>
    <w:bookmarkEnd w:id="36"/>
    <w:bookmarkStart w:id="37" w:name="ref-stott2012beyond"/>
    <w:p>
      <w:pPr>
        <w:pStyle w:val="Bibliography"/>
      </w:pPr>
      <w:r>
        <w:t xml:space="preserve">Stott I, Hodgson DJ, Townley S. 2012. Beyond sensitivity: nonlinear perturbation analysis of transient dynamics.</w:t>
      </w:r>
      <w:r>
        <w:t xml:space="preserve"> </w:t>
      </w:r>
      <w:r>
        <w:rPr>
          <w:i/>
          <w:iCs/>
        </w:rPr>
        <w:t xml:space="preserve">Methods in Ecology and Evolution</w:t>
      </w:r>
      <w:r>
        <w:t xml:space="preserve"> </w:t>
      </w:r>
      <w:r>
        <w:t xml:space="preserve">3:673-684.</w:t>
      </w:r>
    </w:p>
    <w:bookmarkEnd w:id="37"/>
    <w:bookmarkStart w:id="38"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38"/>
    <w:bookmarkStart w:id="40" w:name="ref-torres2026demographic"/>
    <w:p>
      <w:pPr>
        <w:pStyle w:val="Bibliography"/>
      </w:pPr>
      <w:r>
        <w:t xml:space="preserve">Torres Torres G, Torres Gonzalez AM, Flanagan NS, Ospina-Calderón NH. 2026. Demographic insights guide conservation priorities for the threatened orchid</w:t>
      </w:r>
      <w:r>
        <w:t xml:space="preserve"> </w:t>
      </w:r>
      <w:r>
        <w:rPr>
          <w:i/>
          <w:iCs/>
        </w:rPr>
        <w:t xml:space="preserve">C</w:t>
      </w:r>
      <w:r>
        <w:rPr>
          <w:i/>
          <w:iCs/>
        </w:rPr>
        <w:t xml:space="preserve">attleya quadricolor</w:t>
      </w:r>
      <w:r>
        <w:t xml:space="preserve"> </w:t>
      </w:r>
      <w:r>
        <w:t xml:space="preserve">in tropical dry forest.</w:t>
      </w:r>
      <w:r>
        <w:t xml:space="preserve"> </w:t>
      </w:r>
      <w:r>
        <w:rPr>
          <w:i/>
          <w:iCs/>
        </w:rPr>
        <w:t xml:space="preserve">Oryx</w:t>
      </w:r>
      <w:r>
        <w:t xml:space="preserve">. DOI:</w:t>
      </w:r>
      <w:r>
        <w:t xml:space="preserve"> </w:t>
      </w:r>
      <w:hyperlink r:id="rId39">
        <w:r>
          <w:rPr>
            <w:rStyle w:val="Hyperlink"/>
          </w:rPr>
          <w:t xml:space="preserve">10.1017/S0030605325102512</w:t>
        </w:r>
      </w:hyperlink>
      <w:r>
        <w:t xml:space="preserve">.</w:t>
      </w:r>
    </w:p>
    <w:bookmarkEnd w:id="40"/>
    <w:bookmarkStart w:id="41" w:name="ref-tremblay1992trends"/>
    <w:p>
      <w:pPr>
        <w:pStyle w:val="Bibliography"/>
      </w:pPr>
      <w:r>
        <w:t xml:space="preserve">Tremblay Rl. 1992. Trends in the pollination ecology of the</w:t>
      </w:r>
      <w:r>
        <w:t xml:space="preserve"> </w:t>
      </w:r>
      <w:r>
        <w:t xml:space="preserve">O</w:t>
      </w:r>
      <w:r>
        <w:t xml:space="preserve">rchidaceae: evolution and systematics.</w:t>
      </w:r>
      <w:r>
        <w:t xml:space="preserve"> </w:t>
      </w:r>
      <w:r>
        <w:rPr>
          <w:i/>
          <w:iCs/>
        </w:rPr>
        <w:t xml:space="preserve">Canadian Journal of Botany</w:t>
      </w:r>
      <w:r>
        <w:t xml:space="preserve"> </w:t>
      </w:r>
      <w:r>
        <w:t xml:space="preserve">70:642-650.</w:t>
      </w:r>
    </w:p>
    <w:bookmarkEnd w:id="41"/>
    <w:bookmarkStart w:id="42" w:name="ref-tremblay1994var"/>
    <w:p>
      <w:pPr>
        <w:pStyle w:val="Bibliography"/>
      </w:pPr>
      <w:r>
        <w:t xml:space="preserve">Tremblay R. 1994. Frequency and consequences of multi-parental pollinations in a population of</w:t>
      </w:r>
      <w:r>
        <w:t xml:space="preserve"> </w:t>
      </w:r>
      <w:r>
        <w:rPr>
          <w:i/>
          <w:iCs/>
        </w:rPr>
        <w:t xml:space="preserve">C</w:t>
      </w:r>
      <w:r>
        <w:rPr>
          <w:i/>
          <w:iCs/>
        </w:rPr>
        <w:t xml:space="preserve">ypripedium</w:t>
      </w:r>
      <w:r>
        <w:rPr>
          <w:i/>
          <w:iCs/>
        </w:rPr>
        <w:t xml:space="preserve"> </w:t>
      </w:r>
      <w:r>
        <w:rPr>
          <w:i/>
          <w:iCs/>
        </w:rPr>
        <w:t xml:space="preserve">c</w:t>
      </w:r>
      <w:r>
        <w:rPr>
          <w:i/>
          <w:iCs/>
        </w:rPr>
        <w:t xml:space="preserve">alceolus</w:t>
      </w:r>
      <w:r>
        <w:t xml:space="preserve"> </w:t>
      </w:r>
      <w:r>
        <w:t xml:space="preserve">var.</w:t>
      </w:r>
      <w:r>
        <w:t xml:space="preserve"> </w:t>
      </w:r>
      <w:r>
        <w:t xml:space="preserve"> </w:t>
      </w:r>
      <w:r>
        <w:t xml:space="preserve">(</w:t>
      </w:r>
      <w:r>
        <w:t xml:space="preserve">O</w:t>
      </w:r>
      <w:r>
        <w:t xml:space="preserve">rchidaceae).</w:t>
      </w:r>
      <w:r>
        <w:t xml:space="preserve"> </w:t>
      </w:r>
      <w:r>
        <w:rPr>
          <w:i/>
          <w:iCs/>
        </w:rPr>
        <w:t xml:space="preserve">Lindleyana</w:t>
      </w:r>
      <w:r>
        <w:t xml:space="preserve"> </w:t>
      </w:r>
      <w:r>
        <w:t xml:space="preserve">9:161-167.</w:t>
      </w:r>
    </w:p>
    <w:bookmarkEnd w:id="42"/>
    <w:bookmarkStart w:id="43" w:name="ref-tremblay2006effect"/>
    <w:p>
      <w:pPr>
        <w:pStyle w:val="Bibliography"/>
      </w:pPr>
      <w:r>
        <w:t xml:space="preserve">Tremblay RL. 2006. The effect of population structure, plant size, herbivory and reproductive potential on effective population size in the temperate epiphytic orchid, Sarcochilus australis.</w:t>
      </w:r>
      <w:r>
        <w:t xml:space="preserve"> </w:t>
      </w:r>
      <w:r>
        <w:rPr>
          <w:i/>
          <w:iCs/>
        </w:rPr>
        <w:t xml:space="preserve">Cunninghamia</w:t>
      </w:r>
      <w:r>
        <w:t xml:space="preserve"> </w:t>
      </w:r>
      <w:r>
        <w:t xml:space="preserve">9:529-535.</w:t>
      </w:r>
    </w:p>
    <w:bookmarkEnd w:id="43"/>
    <w:bookmarkStart w:id="44"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44"/>
    <w:bookmarkStart w:id="45" w:name="ref-wilcock2002pollination"/>
    <w:p>
      <w:pPr>
        <w:pStyle w:val="Bibliography"/>
      </w:pPr>
      <w:r>
        <w:t xml:space="preserve">Wilcock C, Neiland R. 2002. Pollination failure in plants: why it happens and when it matters.</w:t>
      </w:r>
      <w:r>
        <w:t xml:space="preserve"> </w:t>
      </w:r>
      <w:r>
        <w:rPr>
          <w:i/>
          <w:iCs/>
        </w:rPr>
        <w:t xml:space="preserve">Trends in Plant Science</w:t>
      </w:r>
      <w:r>
        <w:t xml:space="preserve"> </w:t>
      </w:r>
      <w:r>
        <w:t xml:space="preserve">7:270-277.</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doi.org/10.1017/S0030605325102512" TargetMode="External" /><Relationship Type="http://schemas.openxmlformats.org/officeDocument/2006/relationships/hyperlink" Id="rId31" Target="https://doi.org/10.3389/fevo.2023.1135316"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17/S0030605325102512" TargetMode="External" /><Relationship Type="http://schemas.openxmlformats.org/officeDocument/2006/relationships/hyperlink" Id="rId31" Target="https://doi.org/10.3389/fevo.2023.11353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Conclusión</dc:title>
  <dc:creator/>
  <dc:description>Conclusiones del libro: aportes de la traducción al español, anclaje en orquídeas neotropicales y conexión con métodos contemporáneos de dinámica poblacional.</dc:description>
  <dc:language>es</dc:language>
  <cp:keywords/>
  <dcterms:created xsi:type="dcterms:W3CDTF">2026-05-28T02:45:40Z</dcterms:created>
  <dcterms:modified xsi:type="dcterms:W3CDTF">2026-05-28T02:45:40Z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images/Tolumnia_variegata_Tremblay.jpeg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