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"2024-04-01"</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numPr>
          <w:ilvl w:val="0"/>
          <w:numId w:val="1001"/>
        </w:numPr>
        <w:pStyle w:val="Compact"/>
      </w:pPr>
      <w:r>
        <w:t xml:space="preserve">distribución normal</w:t>
      </w:r>
    </w:p>
    <w:p>
      <w:pPr>
        <w:numPr>
          <w:ilvl w:val="0"/>
          <w:numId w:val="1001"/>
        </w:numPr>
        <w:pStyle w:val="Compact"/>
      </w:pPr>
      <w:r>
        <w:t xml:space="preserve">igualdad de varianza</w:t>
      </w:r>
    </w:p>
    <w:p>
      <w:pPr>
        <w:numPr>
          <w:ilvl w:val="0"/>
          <w:numId w:val="1001"/>
        </w:numPr>
        <w:pStyle w:val="Compact"/>
      </w:pPr>
      <w:r>
        <w:t xml:space="preserve">simetría de las distribuciones</w:t>
      </w:r>
    </w:p>
    <w:p>
      <w:pPr>
        <w:numPr>
          <w:ilvl w:val="0"/>
          <w:numId w:val="1001"/>
        </w:numPr>
        <w:pStyle w:val="Compact"/>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Cs/>
          <w:b/>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Cs/>
          <w:b/>
        </w:rPr>
        <w:t xml:space="preserve">no paramétrica</w:t>
      </w:r>
      <w:r>
        <w:t xml:space="preserve"> </w:t>
      </w:r>
      <w:r>
        <w:t xml:space="preserve">tambien</w:t>
      </w:r>
      <w:r>
        <w:t xml:space="preserve"> </w:t>
      </w:r>
      <w:r>
        <w:rPr>
          <w:bCs/>
          <w:b/>
        </w:rPr>
        <w:t xml:space="preserve">estadística bayesiana</w:t>
      </w:r>
      <w:r>
        <w:t xml:space="preserve"> </w:t>
      </w:r>
      <w:r>
        <w:t xml:space="preserve">o</w:t>
      </w:r>
      <w:r>
        <w:t xml:space="preserve"> </w:t>
      </w:r>
      <w:r>
        <w:rPr>
          <w:bCs/>
          <w:b/>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76"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Cs/>
          <w:i/>
        </w:rPr>
        <w:t xml:space="preserve">discriminant function analysis</w:t>
      </w:r>
      <w:r>
        <w:t xml:space="preserve"> </w:t>
      </w:r>
      <w:r>
        <w:t xml:space="preserve">en inglés). Como ejemplo utilizaremos los datos de la Becasa de Mar</w:t>
      </w:r>
      <w:r>
        <w:t xml:space="preserve"> </w:t>
      </w:r>
      <w:r>
        <w:rPr>
          <w:iCs/>
          <w:i/>
        </w:rPr>
        <w:t xml:space="preserve">Limosa haemastica</w:t>
      </w:r>
      <w:r>
        <w:t xml:space="preserve">, un ave migrante de las costas de las marismas de Argentina, los datos se encuentra en la base de datos Godwits en el packete</w:t>
      </w:r>
      <w:r>
        <w:t xml:space="preserve"> </w:t>
      </w:r>
      <w:r>
        <w:rPr>
          <w:bCs/>
          <w:b/>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numPr>
          <w:ilvl w:val="0"/>
          <w:numId w:val="1002"/>
        </w:numPr>
        <w:pStyle w:val="Compact"/>
      </w:pPr>
      <w:r>
        <w:t xml:space="preserve">1ro. la varianza en las observaciones entre sexo es similar,</w:t>
      </w:r>
    </w:p>
    <w:p>
      <w:pPr>
        <w:numPr>
          <w:ilvl w:val="0"/>
          <w:numId w:val="1002"/>
        </w:numPr>
        <w:pStyle w:val="Compact"/>
      </w:pPr>
      <w:r>
        <w:t xml:space="preserve">2do. la variación en las tres estaciones es similar, y</w:t>
      </w:r>
    </w:p>
    <w:p>
      <w:pPr>
        <w:numPr>
          <w:ilvl w:val="0"/>
          <w:numId w:val="1002"/>
        </w:numPr>
        <w:pStyle w:val="Compact"/>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Cs/>
          <w:b/>
        </w:rPr>
        <w:t xml:space="preserve">SEX</w:t>
      </w:r>
      <w:r>
        <w:t xml:space="preserve">, hay tres categorías: 0 = sexo no identificado, 1 = hembra, y 2 = macho. Se removió la categoría de</w:t>
      </w:r>
      <w:r>
        <w:t xml:space="preserve"> </w:t>
      </w:r>
      <w:r>
        <w:rPr>
          <w:bCs/>
          <w:b/>
        </w:rPr>
        <w:t xml:space="preserve">no identificado</w:t>
      </w:r>
      <w:r>
        <w:t xml:space="preserve"> </w:t>
      </w:r>
      <w:r>
        <w:t xml:space="preserve">usando la siguiente función</w:t>
      </w:r>
      <w:r>
        <w:t xml:space="preserve"> </w:t>
      </w:r>
      <w:r>
        <w:rPr>
          <w:bCs/>
          <w:b/>
        </w:rPr>
        <w:t xml:space="preserve">-which</w:t>
      </w:r>
      <w:r>
        <w:t xml:space="preserve">:</w:t>
      </w:r>
    </w:p>
    <w:p>
      <w:pPr>
        <w:pStyle w:val="BodyText"/>
      </w:pPr>
      <w:r>
        <w:rPr>
          <w:bCs/>
          <w:b/>
        </w:rPr>
        <w:t xml:space="preserve">BecasaDeMar=BecasaDeMar[-which(BecasaDeMar$SEX=={0}),]</w:t>
      </w:r>
    </w:p>
    <w:p>
      <w:pPr>
        <w:pStyle w:val="BodyText"/>
      </w:pPr>
      <w:r>
        <w:t xml:space="preserve">Note aquí el</w:t>
      </w:r>
      <w:r>
        <w:t xml:space="preserve"> </w:t>
      </w:r>
      <w:r>
        <w:rPr>
          <w:bCs/>
          <w:b/>
        </w:rPr>
        <w:t xml:space="preserve">-</w:t>
      </w:r>
      <w:r>
        <w:t xml:space="preserve"> </w:t>
      </w:r>
      <w:r>
        <w:t xml:space="preserve">(el signo de resta) antes de</w:t>
      </w:r>
      <w:r>
        <w:t xml:space="preserve"> </w:t>
      </w:r>
      <w:r>
        <w:rPr>
          <w:bCs/>
          <w:b/>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Cs/>
          <w:b/>
        </w:rPr>
        <w:t xml:space="preserve">y</w:t>
      </w:r>
      <w:r>
        <w:t xml:space="preserve">.</w:t>
      </w:r>
    </w:p>
    <w:p>
      <w:pPr>
        <w:pStyle w:val="BodyText"/>
      </w:pPr>
      <w:r>
        <w:t xml:space="preserve">A continuación, completamos el análisis utilizando otra vez los datos de la orquídea</w:t>
      </w:r>
      <w:r>
        <w:t xml:space="preserve"> </w:t>
      </w:r>
      <w:r>
        <w:rPr>
          <w:bCs/>
          <w:b/>
        </w:rPr>
        <w:t xml:space="preserve">Dipodium</w:t>
      </w:r>
      <w:r>
        <w:t xml:space="preserve">. Primero hay que hacer un análisis de regresión simple usando</w:t>
      </w:r>
      <w:r>
        <w:t xml:space="preserve"> </w:t>
      </w:r>
      <w:r>
        <w:rPr>
          <w:bCs/>
          <w:b/>
        </w:rPr>
        <w:t xml:space="preserve">lm()</w:t>
      </w:r>
      <w:r>
        <w:t xml:space="preserve"> </w:t>
      </w:r>
      <w:r>
        <w:t xml:space="preserve">y darle un nombre al análisis o sea el modelo. Subseguientemente uno puede llamar los valores necesarios para hacer el gráfico con</w:t>
      </w:r>
      <w:r>
        <w:t xml:space="preserve"> </w:t>
      </w:r>
      <w:r>
        <w:rPr>
          <w:bCs/>
          <w:b/>
        </w:rPr>
        <w:t xml:space="preserve">.fitted</w:t>
      </w:r>
      <w:r>
        <w:t xml:space="preserve"> </w:t>
      </w:r>
      <w:r>
        <w:t xml:space="preserve">y</w:t>
      </w:r>
      <w:r>
        <w:t xml:space="preserve"> </w:t>
      </w:r>
      <w:r>
        <w:rPr>
          <w:bCs/>
          <w:b/>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Cs/>
          <w:b/>
        </w:rPr>
        <w:t xml:space="preserve">X</w:t>
      </w:r>
      <w:r>
        <w:t xml:space="preserve">, o valores estimados. En adición que los residuales (negativos o positivos) no son limitado a sub grupos de de los valores estimados (en la</w:t>
      </w:r>
      <w:r>
        <w:t xml:space="preserve"> </w:t>
      </w:r>
      <w:r>
        <w:rPr>
          <w:bCs/>
          <w:b/>
        </w:rPr>
        <w:t xml:space="preserve">X</w:t>
      </w:r>
      <w:r>
        <w:t xml:space="preserve">).</w:t>
      </w:r>
    </w:p>
    <w:p>
      <w:pPr>
        <w:pStyle w:val="BodyText"/>
      </w:pPr>
      <w:r>
        <w:t xml:space="preserve">Note que se está aplicando el modelo</w:t>
      </w:r>
      <w:r>
        <w:t xml:space="preserve"> </w:t>
      </w:r>
      <w:r>
        <w:rPr>
          <w:bCs/>
          <w:b/>
        </w:rPr>
        <w:t xml:space="preserve">modelflower</w:t>
      </w:r>
      <w:r>
        <w:t xml:space="preserve">, y se usan los valores calculados en el modelo</w:t>
      </w:r>
      <w:r>
        <w:t xml:space="preserve"> </w:t>
      </w:r>
      <w:r>
        <w:rPr>
          <w:bCs/>
          <w:b/>
        </w:rPr>
        <w:t xml:space="preserve">.fitted</w:t>
      </w:r>
      <w:r>
        <w:t xml:space="preserve"> </w:t>
      </w:r>
      <w:r>
        <w:t xml:space="preserve">y</w:t>
      </w:r>
      <w:r>
        <w:t xml:space="preserve"> </w:t>
      </w:r>
      <w:r>
        <w:rPr>
          <w:bCs/>
          <w:b/>
        </w:rPr>
        <w:t xml:space="preserve">.resid</w:t>
      </w:r>
      <w:r>
        <w:t xml:space="preserve"> </w:t>
      </w:r>
      <w:r>
        <w:t xml:space="preserve">para producir el gráfico. Se añade una linea horizontal para identificar el modelo nulo con</w:t>
      </w:r>
      <w:r>
        <w:t xml:space="preserve"> </w:t>
      </w:r>
      <w:r>
        <w:rPr>
          <w:bCs/>
          <w:b/>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Cs/>
          <w:b/>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Cs/>
          <w:b/>
        </w:rPr>
        <w:t xml:space="preserve">modelflower</w:t>
      </w:r>
      <w:r>
        <w:t xml:space="preserve"> </w:t>
      </w:r>
      <w:r>
        <w:t xml:space="preserve">y los valores calculados en el modelo</w:t>
      </w:r>
      <w:r>
        <w:t xml:space="preserve"> </w:t>
      </w:r>
      <w:r>
        <w:rPr>
          <w:bCs/>
          <w:b/>
        </w:rPr>
        <w:t xml:space="preserve">.fitted</w:t>
      </w:r>
      <w:r>
        <w:t xml:space="preserve"> </w:t>
      </w:r>
      <w:r>
        <w:t xml:space="preserve">y los residuales de student con</w:t>
      </w:r>
      <w:r>
        <w:t xml:space="preserve"> </w:t>
      </w:r>
      <w:r>
        <w:rPr>
          <w:bCs/>
          <w:b/>
        </w:rPr>
        <w:t xml:space="preserve">.stdresid</w:t>
      </w:r>
      <w:r>
        <w:t xml:space="preserve">. Note ahora también que todos los valores en el eje de</w:t>
      </w:r>
      <w:r>
        <w:t xml:space="preserve"> </w:t>
      </w:r>
      <w:r>
        <w:rPr>
          <w:bCs/>
          <w:b/>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Cs/>
          <w:b/>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Cs/>
          <w:b/>
        </w:rPr>
        <w:t xml:space="preserve">Distancia de Cook</w:t>
      </w:r>
      <w:r>
        <w:t xml:space="preserve">, Di, es mayor a 1 (sugerido por R. Dennis Cook Cook mismo en 1982); y que la</w:t>
      </w:r>
      <w:r>
        <w:t xml:space="preserve"> </w:t>
      </w:r>
      <w:r>
        <w:rPr>
          <w:bCs/>
          <w:b/>
        </w:rPr>
        <w:t xml:space="preserve">Di &gt; 4/n</w:t>
      </w:r>
      <w:r>
        <w:t xml:space="preserve">, donde</w:t>
      </w:r>
      <w:r>
        <w:t xml:space="preserve"> </w:t>
      </w:r>
      <w:r>
        <w:rPr>
          <w:bCs/>
          <w:b/>
        </w:rPr>
        <w:t xml:space="preserve">n</w:t>
      </w:r>
      <w:r>
        <w:t xml:space="preserve"> </w:t>
      </w:r>
      <w:r>
        <w:t xml:space="preserve">es el número de observaciones (Bollen</w:t>
      </w:r>
      <w:r>
        <w:t xml:space="preserve"> </w:t>
      </w:r>
      <w:r>
        <w:rPr>
          <w:iCs/>
          <w:i/>
        </w:rPr>
        <w:t xml:space="preserve">et al</w:t>
      </w:r>
      <w:r>
        <w:t xml:space="preserve">. 1990).</w:t>
      </w:r>
    </w:p>
    <w:p>
      <w:pPr>
        <w:pStyle w:val="BodyText"/>
      </w:pPr>
      <w:r>
        <w:t xml:space="preserve">Para hacer una ilustración, continuaremos con el modelo</w:t>
      </w:r>
      <w:r>
        <w:t xml:space="preserve"> </w:t>
      </w:r>
      <w:r>
        <w:rPr>
          <w:bCs/>
          <w:b/>
        </w:rPr>
        <w:t xml:space="preserve">modelflower</w:t>
      </w:r>
      <w:r>
        <w:t xml:space="preserve"> </w:t>
      </w:r>
      <w:r>
        <w:t xml:space="preserve">usando los valores calculados en el modelo anterior. El gráfico se construirá utilizando la opción</w:t>
      </w:r>
      <w:r>
        <w:t xml:space="preserve"> </w:t>
      </w:r>
      <w:r>
        <w:rPr>
          <w:bCs/>
          <w:b/>
        </w:rPr>
        <w:t xml:space="preserve">seq_along</w:t>
      </w:r>
      <w:r>
        <w:t xml:space="preserve">, para que los valores en el eje de</w:t>
      </w:r>
      <w:r>
        <w:t xml:space="preserve"> </w:t>
      </w:r>
      <w:r>
        <w:rPr>
          <w:bCs/>
          <w:b/>
        </w:rPr>
        <w:t xml:space="preserve">X</w:t>
      </w:r>
      <w:r>
        <w:t xml:space="preserve"> </w:t>
      </w:r>
      <w:r>
        <w:t xml:space="preserve">se basen en la secuencia de datos en el archivo y los valores en el eje de</w:t>
      </w:r>
      <w:r>
        <w:t xml:space="preserve"> </w:t>
      </w:r>
      <w:r>
        <w:rPr>
          <w:bCs/>
          <w:b/>
        </w:rPr>
        <w:t xml:space="preserve">Y</w:t>
      </w:r>
      <w:r>
        <w:t xml:space="preserve"> </w:t>
      </w:r>
      <w:r>
        <w:t xml:space="preserve">se basen en los valores de la</w:t>
      </w:r>
      <w:r>
        <w:t xml:space="preserve"> </w:t>
      </w:r>
      <w:r>
        <w:rPr>
          <w:bCs/>
          <w:b/>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Cs/>
          <w:b/>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Cs/>
          <w:b/>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Cs/>
          <w:b/>
        </w:rPr>
        <w:t xml:space="preserve">Estadística Robusta</w:t>
      </w:r>
      <w:r>
        <w:t xml:space="preserve"> </w:t>
      </w:r>
      <w:r>
        <w:t xml:space="preserve">(vea libros del Dr. Ricardo Maronna, R. Douglas Martin, Victor J Yohai &amp; Matias Salibán-Barrera:</w:t>
      </w:r>
      <w:r>
        <w:t xml:space="preserve"> </w:t>
      </w:r>
      <w:r>
        <w:rPr>
          <w:bCs/>
          <w:b/>
        </w:rPr>
        <w:t xml:space="preserve">Robust Statistics: Theory and Methods</w:t>
      </w:r>
      <w:r>
        <w:t xml:space="preserve"> </w:t>
      </w:r>
      <w:r>
        <w:t xml:space="preserve">(with R) y del Dr. Rand R. Wilcox,</w:t>
      </w:r>
      <w:r>
        <w:t xml:space="preserve"> </w:t>
      </w:r>
      <w:r>
        <w:rPr>
          <w:bCs/>
          <w:b/>
        </w:rPr>
        <w:t xml:space="preserve">Introduction to Robust Estimation and Hypothesis testing</w:t>
      </w:r>
      <w:r>
        <w:t xml:space="preserve"> </w:t>
      </w:r>
      <w:r>
        <w:t xml:space="preserve">para tomar en cuenta estos valores sin su remoción.</w:t>
      </w:r>
    </w:p>
    <w:p>
      <w:pPr>
        <w:numPr>
          <w:ilvl w:val="0"/>
          <w:numId w:val="1003"/>
        </w:numPr>
        <w:pStyle w:val="Compact"/>
      </w:pPr>
      <w:r>
        <w:t xml:space="preserve">los valores recolectado son erróneo.</w:t>
      </w:r>
    </w:p>
    <w:p>
      <w:pPr>
        <w:numPr>
          <w:ilvl w:val="0"/>
          <w:numId w:val="1003"/>
        </w:numPr>
        <w:pStyle w:val="Compact"/>
      </w:pPr>
      <w:r>
        <w:t xml:space="preserve">los valores fueron entrado incorrectamente en la hoja de datos</w:t>
      </w:r>
    </w:p>
    <w:p>
      <w:pPr>
        <w:numPr>
          <w:ilvl w:val="0"/>
          <w:numId w:val="1003"/>
        </w:numPr>
        <w:pStyle w:val="Compact"/>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Cs/>
          <w:b/>
        </w:rPr>
        <w:t xml:space="preserve">Análisis de Componentes Principales</w:t>
      </w:r>
      <w:r>
        <w:t xml:space="preserve"> </w:t>
      </w:r>
      <w:r>
        <w:t xml:space="preserve">o ACP (en inglés, PCA o Principle Component Analysis) o la prueba de</w:t>
      </w:r>
      <w:r>
        <w:t xml:space="preserve"> </w:t>
      </w:r>
      <w:r>
        <w:rPr>
          <w:bCs/>
          <w:b/>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Cs/>
          <w:b/>
        </w:rPr>
        <w:t xml:space="preserve">Q</w:t>
      </w:r>
      <w:r>
        <w:t xml:space="preserve"> </w:t>
      </w:r>
      <w:r>
        <w:t xml:space="preserve">viene de cuartil). Si las distribuciones de las dos variables son similares, los puntos aparecerán nítidamente en el gráfico de QQ sobre la línea de</w:t>
      </w:r>
      <w:r>
        <w:t xml:space="preserve"> </w:t>
      </w:r>
      <w:r>
        <w:rPr>
          <w:bCs/>
          <w:b/>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Cs/>
          <w:b/>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Cs/>
          <w:b/>
        </w:rPr>
        <w:t xml:space="preserve">geom_qq</w:t>
      </w:r>
      <w:r>
        <w:t xml:space="preserve"> </w:t>
      </w:r>
      <w:r>
        <w:t xml:space="preserve">y</w:t>
      </w:r>
      <w:r>
        <w:t xml:space="preserve"> </w:t>
      </w:r>
      <w:r>
        <w:rPr>
          <w:bCs/>
          <w:b/>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Cs/>
          <w:b/>
        </w:rPr>
        <w:t xml:space="preserve">geom_histogram</w:t>
      </w:r>
      <w:r>
        <w:t xml:space="preserve"> </w:t>
      </w:r>
      <w:r>
        <w:t xml:space="preserve">y para la distribución teorica normal de estos datos se usa la función</w:t>
      </w:r>
      <w:r>
        <w:t xml:space="preserve"> </w:t>
      </w:r>
      <w:r>
        <w:rPr>
          <w:bCs/>
          <w:b/>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Cs/>
          <w:b/>
        </w:rPr>
        <w:t xml:space="preserve">geom_histogram</w:t>
      </w:r>
      <w:r>
        <w:t xml:space="preserve"> </w:t>
      </w:r>
      <w:r>
        <w:t xml:space="preserve">se tiene que incluir</w:t>
      </w:r>
    </w:p>
    <w:p>
      <w:pPr>
        <w:pStyle w:val="BodyText"/>
      </w:pPr>
      <w:r>
        <w:rPr>
          <w:bCs/>
          <w:b/>
        </w:rPr>
        <w:t xml:space="preserve">aes(..density..)</w:t>
      </w:r>
    </w:p>
    <w:p>
      <w:pPr>
        <w:pStyle w:val="BodyText"/>
      </w:pPr>
      <w:r>
        <w:t xml:space="preserve">y añadir dentro de la función</w:t>
      </w:r>
      <w:r>
        <w:t xml:space="preserve"> </w:t>
      </w:r>
      <w:r>
        <w:rPr>
          <w:bCs/>
          <w:b/>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Cs/>
          <w:b/>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Cs/>
          <w:b/>
        </w:rPr>
        <w:t xml:space="preserve">mgconsumed</w:t>
      </w:r>
      <w:r>
        <w:t xml:space="preserve">.</w:t>
      </w:r>
    </w:p>
    <w:p>
      <w:pPr>
        <w:pStyle w:val="BodyText"/>
      </w:pPr>
      <w:r>
        <w:rPr>
          <w:bCs/>
          <w:b/>
        </w:rPr>
        <w:t xml:space="preserve">Godwits$mgconsumed</w:t>
      </w:r>
    </w:p>
    <w:p>
      <w:pPr>
        <w:pStyle w:val="BodyText"/>
      </w:pPr>
      <w:r>
        <w:t xml:space="preserve">Además, si hay NA en los datos, hay que añadir</w:t>
      </w:r>
      <w:r>
        <w:t xml:space="preserve"> </w:t>
      </w:r>
      <w:r>
        <w:rPr>
          <w:bCs/>
          <w:b/>
        </w:rPr>
        <w:t xml:space="preserve">na.rm = TRUE</w:t>
      </w:r>
      <w:r>
        <w:t xml:space="preserve"> </w:t>
      </w:r>
      <w:r>
        <w:t xml:space="preserve">para excluir los</w:t>
      </w:r>
      <w:r>
        <w:t xml:space="preserve"> </w:t>
      </w:r>
      <w:r>
        <w:rPr>
          <w:bCs/>
          <w:b/>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Cs/>
          <w:b/>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Cs/>
          <w:b/>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Cs/>
          <w:b/>
        </w:rPr>
        <w:t xml:space="preserve">geom_histogram</w:t>
      </w:r>
      <w:r>
        <w:t xml:space="preserve"> </w:t>
      </w:r>
      <w:r>
        <w:t xml:space="preserve">y</w:t>
      </w:r>
      <w:r>
        <w:t xml:space="preserve"> </w:t>
      </w:r>
      <w:r>
        <w:rPr>
          <w:bCs/>
          <w:b/>
        </w:rPr>
        <w:t xml:space="preserve">stat_function</w:t>
      </w:r>
      <w:r>
        <w:t xml:space="preserve"> </w:t>
      </w:r>
      <w:r>
        <w:t xml:space="preserve">por</w:t>
      </w:r>
      <w:r>
        <w:t xml:space="preserve"> </w:t>
      </w:r>
      <w:r>
        <w:rPr>
          <w:bCs/>
          <w:b/>
        </w:rPr>
        <w:t xml:space="preserve">geom_density</w:t>
      </w:r>
      <w:r>
        <w:t xml:space="preserve"> </w:t>
      </w:r>
      <w:r>
        <w:t xml:space="preserve">para la construcción de curvas de densidad. Otra vez utilizaremos la base de datos</w:t>
      </w:r>
      <w:r>
        <w:t xml:space="preserve"> </w:t>
      </w:r>
      <w:r>
        <w:rPr>
          <w:bCs/>
          <w:b/>
        </w:rPr>
        <w:t xml:space="preserve">SparrowsElphick</w:t>
      </w:r>
      <w:r>
        <w:t xml:space="preserve">. La curva normal que se genera es tipo gausiana (gaussian en inglés). Nóte que para el segundo conjunto de gráficos, (b), no se le especificó la opción en</w:t>
      </w:r>
      <w:r>
        <w:t xml:space="preserve"> </w:t>
      </w:r>
      <w:r>
        <w:rPr>
          <w:bCs/>
          <w:b/>
        </w:rPr>
        <w:t xml:space="preserve">kernel</w:t>
      </w:r>
      <w:r>
        <w:t xml:space="preserve"> </w:t>
      </w:r>
      <w:r>
        <w:t xml:space="preserve">igual a</w:t>
      </w:r>
      <w:r>
        <w:t xml:space="preserve"> </w:t>
      </w:r>
      <w:r>
        <w:rPr>
          <w:bCs/>
          <w:b/>
        </w:rPr>
        <w:t xml:space="preserve">gaussian</w:t>
      </w:r>
      <w:r>
        <w:t xml:space="preserve"> </w:t>
      </w:r>
      <w:r>
        <w:t xml:space="preserve">ya que de forma predeterminada la función</w:t>
      </w:r>
      <w:r>
        <w:t xml:space="preserve"> </w:t>
      </w:r>
      <w:r>
        <w:rPr>
          <w:bCs/>
          <w:b/>
        </w:rPr>
        <w:t xml:space="preserve">geom_density</w:t>
      </w:r>
      <w:r>
        <w:t xml:space="preserve"> </w:t>
      </w:r>
      <w:r>
        <w:t xml:space="preserve">usa el parámetro</w:t>
      </w:r>
      <w:r>
        <w:t xml:space="preserve"> </w:t>
      </w:r>
      <w:r>
        <w:rPr>
          <w:bCs/>
          <w:b/>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Cs/>
          <w:b/>
        </w:rPr>
        <w:t xml:space="preserve">X</w:t>
      </w:r>
      <w:r>
        <w:t xml:space="preserve">. Podemos apreciar que la curva de densidad no sigue claramente una distribución normal con respecto a los valores en</w:t>
      </w:r>
      <w:r>
        <w:t xml:space="preserve"> </w:t>
      </w:r>
      <w:r>
        <w:rPr>
          <w:bCs/>
          <w:b/>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Cs/>
          <w:b/>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Cs/>
          <w:i/>
        </w:rPr>
        <w:t xml:space="preserve">Dipodium</w:t>
      </w:r>
      <w:r>
        <w:t xml:space="preserve">. En el primer ejemplo, se utiliza la función</w:t>
      </w:r>
      <w:r>
        <w:t xml:space="preserve"> </w:t>
      </w:r>
      <w:r>
        <w:rPr>
          <w:bCs/>
          <w:b/>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Cs/>
          <w:b/>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Cs/>
          <w:b/>
        </w:rPr>
        <w:t xml:space="preserve">cor</w:t>
      </w:r>
      <w:r>
        <w:t xml:space="preserve"> </w:t>
      </w:r>
      <w:r>
        <w:t xml:space="preserve">se puede también calcular estimados de correlación sin asumir distribución normal usando los métodos</w:t>
      </w:r>
      <w:r>
        <w:t xml:space="preserve"> </w:t>
      </w:r>
      <w:r>
        <w:rPr>
          <w:bCs/>
          <w:b/>
        </w:rPr>
        <w:t xml:space="preserve">Kendall</w:t>
      </w:r>
      <w:r>
        <w:t xml:space="preserve"> </w:t>
      </w:r>
      <w:r>
        <w:t xml:space="preserve">o</w:t>
      </w:r>
      <w:r>
        <w:t xml:space="preserve"> </w:t>
      </w:r>
      <w:r>
        <w:rPr>
          <w:bCs/>
          <w:b/>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jc w:val="start"/>
        <w:tblCaption w:val="Correlaciones de Kendall"/>
      </w:tblPr>
      <w:tblGrid>
        <w:gridCol w:w="1980"/>
        <w:gridCol w:w="1980"/>
        <w:gridCol w:w="1980"/>
        <w:gridCol w:w="1980"/>
      </w:tblGrid>
      <w:tr>
        <w:trPr>
          <w:tblHeader w:val="true"/>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Cs/>
          <w:b/>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ecc8d8aa4e7cffb5cb46be2cea5cf1a51fb8873"/>
    <w:p>
      <w:pPr>
        <w:pStyle w:val="Heading2"/>
      </w:pPr>
      <w:r>
        <w:t xml:space="preserve">Seleción de parametros pra correlaciones cuando hay NA</w:t>
      </w:r>
    </w:p>
    <w:p>
      <w:pPr>
        <w:pStyle w:val="FirstParagraph"/>
      </w:pPr>
      <w:r>
        <w:t xml:space="preserve">Además, los analísis anteriores utilizados emplearon el parámetro</w:t>
      </w:r>
      <w:r>
        <w:t xml:space="preserve"> </w:t>
      </w:r>
      <w:r>
        <w:rPr>
          <w:bCs/>
          <w:b/>
        </w:rPr>
        <w:t xml:space="preserve">pairwise.complete.obs</w:t>
      </w:r>
      <w:r>
        <w:t xml:space="preserve">, ya que obviaría los</w:t>
      </w:r>
      <w:r>
        <w:t xml:space="preserve"> </w:t>
      </w:r>
      <w:r>
        <w:rPr>
          <w:bCs/>
          <w:b/>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Cs/>
          <w:b/>
        </w:rPr>
        <w:t xml:space="preserve">NA</w:t>
      </w:r>
      <w:r>
        <w:t xml:space="preserve"> </w:t>
      </w:r>
      <w:r>
        <w:t xml:space="preserve">en el archivo. Tome en consideración que hay otras cuatro alternativas para analizar los datos cuando tenemos</w:t>
      </w:r>
      <w:r>
        <w:t xml:space="preserve"> </w:t>
      </w:r>
      <w:r>
        <w:rPr>
          <w:bCs/>
          <w:b/>
        </w:rPr>
        <w:t xml:space="preserve">NA</w:t>
      </w:r>
      <w:r>
        <w:t xml:space="preserve"> </w:t>
      </w:r>
      <w:r>
        <w:t xml:space="preserve">presentes:</w:t>
      </w:r>
      <w:r>
        <w:t xml:space="preserve"> </w:t>
      </w:r>
      <w:r>
        <w:rPr>
          <w:bCs/>
          <w:b/>
        </w:rPr>
        <w:t xml:space="preserve">everything</w:t>
      </w:r>
      <w:r>
        <w:t xml:space="preserve">,</w:t>
      </w:r>
      <w:r>
        <w:t xml:space="preserve"> </w:t>
      </w:r>
      <w:r>
        <w:rPr>
          <w:bCs/>
          <w:b/>
        </w:rPr>
        <w:t xml:space="preserve">all.obs</w:t>
      </w:r>
      <w:r>
        <w:t xml:space="preserve">,</w:t>
      </w:r>
      <w:r>
        <w:t xml:space="preserve"> </w:t>
      </w:r>
      <w:r>
        <w:rPr>
          <w:bCs/>
          <w:b/>
        </w:rPr>
        <w:t xml:space="preserve">complete.obs</w:t>
      </w:r>
      <w:r>
        <w:t xml:space="preserve"> </w:t>
      </w:r>
      <w:r>
        <w:t xml:space="preserve">y</w:t>
      </w:r>
      <w:r>
        <w:t xml:space="preserve"> </w:t>
      </w:r>
      <w:r>
        <w:rPr>
          <w:bCs/>
          <w:b/>
        </w:rPr>
        <w:t xml:space="preserve">na.or.complete</w:t>
      </w:r>
      <w:r>
        <w:t xml:space="preserve">. No vamos a discutir esas alternativas en el presente libro. Sería bueno que busque información en R para sus usos. Estas alternativas se discutiran en otros modulos.</w:t>
      </w:r>
    </w:p>
    <w:p>
      <w:pPr>
        <w:pStyle w:val="BodyText"/>
      </w:pPr>
      <w:r>
        <w:t xml:space="preserve">Finalmente, también se utilizó el comando</w:t>
      </w:r>
      <w:r>
        <w:t xml:space="preserve"> </w:t>
      </w:r>
      <w:r>
        <w:rPr>
          <w:bCs/>
          <w:b/>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75"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Cs/>
          <w:b/>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Cs/>
          <w:b/>
        </w:rPr>
        <w:t xml:space="preserve">Herbivory</w:t>
      </w:r>
      <w:r>
        <w:t xml:space="preserve"> </w:t>
      </w:r>
      <w:r>
        <w:t xml:space="preserve">tiene una categoría no identificada, que incluye los</w:t>
      </w:r>
      <w:r>
        <w:t xml:space="preserve"> </w:t>
      </w:r>
      <w:r>
        <w:rPr>
          <w:bCs/>
          <w:b/>
        </w:rPr>
        <w:t xml:space="preserve">NA</w:t>
      </w:r>
      <w:r>
        <w:t xml:space="preserve">.</w:t>
      </w:r>
    </w:p>
    <w:p>
      <w:pPr>
        <w:pStyle w:val="BodyText"/>
      </w:pPr>
      <w:r>
        <w:t xml:space="preserve">Con la función de</w:t>
      </w:r>
      <w:r>
        <w:t xml:space="preserve"> </w:t>
      </w:r>
      <w:r>
        <w:rPr>
          <w:bCs/>
          <w:b/>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Cs/>
          <w:b/>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Cs/>
          <w:b/>
        </w:rPr>
        <w:t xml:space="preserve">NA</w:t>
      </w:r>
      <w:r>
        <w:t xml:space="preserve"> </w:t>
      </w:r>
      <w:r>
        <w:t xml:space="preserve">en la tabla de datos. En este caso, la presencia de herbivoría en las plantas no fue recolectada y en cambio se dejó con un</w:t>
      </w:r>
      <w:r>
        <w:t xml:space="preserve"> </w:t>
      </w:r>
      <w:r>
        <w:rPr>
          <w:bCs/>
          <w:b/>
        </w:rPr>
        <w:t xml:space="preserve">NA</w:t>
      </w:r>
      <w:r>
        <w:t xml:space="preserve">. Note que aquí no se pueden poner ceros u otros valores. Las alternativas podrían ser</w:t>
      </w:r>
      <w:r>
        <w:t xml:space="preserve"> </w:t>
      </w:r>
      <w:r>
        <w:rPr>
          <w:bCs/>
          <w:b/>
        </w:rPr>
        <w:t xml:space="preserve">H</w:t>
      </w:r>
      <w:r>
        <w:t xml:space="preserve"> </w:t>
      </w:r>
      <w:r>
        <w:t xml:space="preserve">para evidenciar la presencia de herbaria y</w:t>
      </w:r>
      <w:r>
        <w:t xml:space="preserve"> </w:t>
      </w:r>
      <w:r>
        <w:rPr>
          <w:bCs/>
          <w:b/>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2024-04-01T15:51:54Z</dcterms:created>
  <dcterms:modified xsi:type="dcterms:W3CDTF">2024-04-01T15:51:54Z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