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4.png" ContentType="image/png"/>
  <Override PartName="/word/media/rId36.png" ContentType="image/png"/>
  <Override PartName="/word/media/rId30.png" ContentType="image/png"/>
  <Override PartName="/word/media/rId26.png" ContentType="image/png"/>
  <Override PartName="/word/media/rId28.png" ContentType="image/png"/>
  <Override PartName="/word/media/rId38.png" ContentType="image/png"/>
  <Override PartName="/word/media/rId40.png" ContentType="image/png"/>
  <Override PartName="/word/media/rId42.png" ContentType="image/png"/>
  <Override PartName="/word/media/rId48.png" ContentType="image/png"/>
  <Override PartName="/word/media/rId2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"2022-02-22"</w:t>
      </w:r>
    </w:p>
    <w:p>
      <w:pPr>
        <w:pStyle w:val="FirstParagraph"/>
      </w:pPr>
      <w:r>
        <w:drawing>
          <wp:inline>
            <wp:extent cx="5334000" cy="6178378"/>
            <wp:effectExtent b="0" l="0" r="0" t="0"/>
            <wp:docPr descr="" title="" id="1" name="Picture"/>
            <a:graphic>
              <a:graphicData uri="http://schemas.openxmlformats.org/drawingml/2006/picture">
                <pic:pic>
                  <pic:nvPicPr>
                    <pic:cNvPr descr="Graficos/hex_ggversa.png" id="0"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1" name="Picture"/>
            <a:graphic>
              <a:graphicData uri="http://schemas.openxmlformats.org/drawingml/2006/picture">
                <pic:pic>
                  <pic:nvPicPr>
                    <pic:cNvPr descr="Graficos/hex_Visualizacion_Datos.png" id="0" name="Picture"/>
                    <pic:cNvPicPr>
                      <a:picLocks noChangeArrowheads="1" noChangeAspect="1"/>
                    </pic:cNvPicPr>
                  </pic:nvPicPr>
                  <pic:blipFill>
                    <a:blip r:embed="rId21"/>
                    <a:stretch>
                      <a:fillRect/>
                    </a:stretch>
                  </pic:blipFill>
                  <pic:spPr bwMode="auto">
                    <a:xfrm>
                      <a:off x="0" y="0"/>
                      <a:ext cx="1583026" cy="1831853"/>
                    </a:xfrm>
                    <a:prstGeom prst="rect">
                      <a:avLst/>
                    </a:prstGeom>
                    <a:noFill/>
                    <a:ln w="9525">
                      <a:noFill/>
                      <a:headEnd/>
                      <a:tailEnd/>
                    </a:ln>
                  </pic:spPr>
                </pic:pic>
              </a:graphicData>
            </a:graphic>
          </wp:inline>
        </w:drawing>
      </w:r>
    </w:p>
    <w:bookmarkStart w:id="22"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datos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pruebas no paramétrica tambien estadística bayesiana o robusta.</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2"/>
    <w:bookmarkStart w:id="50"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Utilizaremos los datos de la Becasa de Mar</w:t>
      </w:r>
      <w:r>
        <w:t xml:space="preserve"> </w:t>
      </w:r>
      <w:r>
        <w:rPr>
          <w:iCs/>
          <w:i/>
        </w:rPr>
        <w:t xml:space="preserve">Limosa haemastica</w:t>
      </w:r>
      <w:r>
        <w:t xml:space="preserve">, un ave migrante de las costas de las marismas de Argentina, de la base de datos Godwits. Para determinar si la razón de adquisición de comida es diferente entre sexo, tiempo del año, y la combinación de estas dos variables (en otras palabras, las interacciones entre ambas), hay que asumir lo siguiente: 1ro. la varianza en las observaciones entre sexo es similar, 2do. la variación en las tres estaciones es similar, y 3ro. la variación entre los grupos por sexo es similar.</w: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DeMarBP-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7"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-12.7346  -2.4391  -0.0868   2.2087  14.3221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-2.19668    1.24384  -1.766   0.0791 .  </w:t>
      </w:r>
      <w:r>
        <w:br/>
      </w:r>
      <w:r>
        <w:rPr>
          <w:rStyle w:val="VerbatimChar"/>
        </w:rPr>
        <w:t xml:space="preserve">## height_inflo  0.45074    0.02368  19.038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4.266 on 179 degrees of freedom</w:t>
      </w:r>
      <w:r>
        <w:br/>
      </w:r>
      <w:r>
        <w:rPr>
          <w:rStyle w:val="VerbatimChar"/>
        </w:rPr>
        <w:t xml:space="preserve">##   (1182 observations deleted due to missingness)</w:t>
      </w:r>
      <w:r>
        <w:br/>
      </w:r>
      <w:r>
        <w:rPr>
          <w:rStyle w:val="VerbatimChar"/>
        </w:rPr>
        <w:t xml:space="preserve">## Multiple R-squared:  0.6694, Adjusted R-squared:  0.6676 </w:t>
      </w:r>
      <w:r>
        <w:br/>
      </w:r>
      <w:r>
        <w:rPr>
          <w:rStyle w:val="VerbatimChar"/>
        </w:rPr>
        <w:t xml:space="preserve">## F-statistic: 362.5 on 1 and 179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7"/>
    <w:bookmarkStart w:id="29"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Cookdistanc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1"/>
    <w:bookmarkStart w:id="3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o removerlos de la hoja de analisis.</w:t>
      </w:r>
    </w:p>
    <w:p>
      <w:pPr>
        <w:numPr>
          <w:ilvl w:val="0"/>
          <w:numId w:val="1002"/>
        </w:numPr>
        <w:pStyle w:val="Compact"/>
      </w:pPr>
      <w:r>
        <w:t xml:space="preserve">los valores recolectado son erróneo.</w:t>
      </w:r>
    </w:p>
    <w:p>
      <w:pPr>
        <w:numPr>
          <w:ilvl w:val="0"/>
          <w:numId w:val="1002"/>
        </w:numPr>
        <w:pStyle w:val="Compact"/>
      </w:pPr>
      <w:r>
        <w:t xml:space="preserve">los valores fueron entrado incorrectamente en la hoja de datos</w:t>
      </w:r>
    </w:p>
    <w:p>
      <w:pPr>
        <w:numPr>
          <w:ilvl w:val="0"/>
          <w:numId w:val="1002"/>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32"/>
    <w:bookmarkStart w:id="3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 Análisis de Componentes Principales o ACP (en inglés, PCA o Principle Component Analysis) o la prueba de t 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33"/>
    <w:bookmarkStart w:id="35"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qplot</w:t>
      </w:r>
      <w:r>
        <w:rPr>
          <w:rStyle w:val="NormalTok"/>
        </w:rPr>
        <w:t xml:space="preserve">(</w:t>
      </w:r>
      <w:r>
        <w:rPr>
          <w:rStyle w:val="AttributeTok"/>
        </w:rPr>
        <w:t xml:space="preserve">sample =</w:t>
      </w:r>
      <w:r>
        <w:rPr>
          <w:rStyle w:val="NormalTok"/>
        </w:rPr>
        <w:t xml:space="preserve"> BecasaDeMar</w:t>
      </w:r>
      <w:r>
        <w:rPr>
          <w:rStyle w:val="SpecialCharTok"/>
        </w:rPr>
        <w:t xml:space="preserve">$</w:t>
      </w:r>
      <w:r>
        <w:rPr>
          <w:rStyle w:val="NormalTok"/>
        </w:rPr>
        <w:t xml:space="preserve">mgconsumed, </w:t>
      </w:r>
      <w:r>
        <w:rPr>
          <w:rStyle w:val="AttributeTok"/>
        </w:rPr>
        <w:t xml:space="preserve">stat=</w:t>
      </w:r>
      <w:r>
        <w:rPr>
          <w:rStyle w:val="StringTok"/>
        </w:rPr>
        <w:t xml:space="preserve">"qq"</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7"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3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el promedio (mean) y la desviación estándar (sd). Con ambos hay que especificar de dónde provienen los datos; en este caso,</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9"/>
    <w:bookmarkStart w:id="41"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0.82</w:t>
      </w:r>
    </w:p>
    <w:p>
      <w:pPr>
        <w:pStyle w:val="BodyText"/>
      </w:pPr>
      <w:r>
        <w:t xml:space="preserve">height_inflo</w:t>
      </w:r>
    </w:p>
    <w:p>
      <w:pPr>
        <w:pStyle w:val="BodyText"/>
      </w:pPr>
      <w:r>
        <w:t xml:space="preserve">-0.100</w:t>
      </w:r>
    </w:p>
    <w:p>
      <w:pPr>
        <w:pStyle w:val="BodyText"/>
      </w:pPr>
      <w:r>
        <w:t xml:space="preserve">0.820</w:t>
      </w:r>
    </w:p>
    <w:p>
      <w:pPr>
        <w:pStyle w:val="BodyText"/>
      </w:pPr>
      <w:r>
        <w:t xml:space="preserve">1.00</w:t>
      </w:r>
    </w:p>
    <w:p>
      <w:r>
        <w:pict>
          <v:rect style="width:0;height:1.5pt" o:hralign="center" o:hrstd="t" o:hr="t"/>
        </w:pict>
      </w:r>
    </w:p>
    <w:bookmarkStart w:id="4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0.650</w:t>
      </w:r>
    </w:p>
    <w:p>
      <w:pPr>
        <w:pStyle w:val="BodyText"/>
      </w:pPr>
      <w:r>
        <w:t xml:space="preserve">height_inflo</w:t>
      </w:r>
    </w:p>
    <w:p>
      <w:pPr>
        <w:pStyle w:val="BodyText"/>
      </w:pPr>
      <w:r>
        <w:t xml:space="preserve">-0.05900</w:t>
      </w:r>
    </w:p>
    <w:p>
      <w:pPr>
        <w:pStyle w:val="BodyText"/>
      </w:pPr>
      <w:r>
        <w:t xml:space="preserve">0.65000</w:t>
      </w:r>
    </w:p>
    <w:p>
      <w:pPr>
        <w:pStyle w:val="BodyText"/>
      </w:pPr>
      <w:r>
        <w:t xml:space="preserve">1.000</w:t>
      </w:r>
    </w:p>
    <w:bookmarkEnd w:id="44"/>
    <w:bookmarkStart w:id="4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45"/>
    <w:bookmarkEnd w:id="46"/>
    <w:bookmarkStart w:id="4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47"/>
    <w:bookmarkStart w:id="49"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ggpair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2022-02-22T20:14:40Z</dcterms:created>
  <dcterms:modified xsi:type="dcterms:W3CDTF">2022-02-22T20:14:40Z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