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36.png" ContentType="image/png"/>
  <Override PartName="/word/media/rId30.png" ContentType="image/png"/>
  <Override PartName="/word/media/rId26.png" ContentType="image/png"/>
  <Override PartName="/word/media/rId28.png" ContentType="image/png"/>
  <Override PartName="/word/media/rId38.png" ContentType="image/png"/>
  <Override PartName="/word/media/rId40.png" ContentType="image/png"/>
  <Override PartName="/word/media/rId42.png" ContentType="image/png"/>
  <Override PartName="/word/media/rId48.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"2022-03-28"</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bookmarkStart w:id="22"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2"/>
    <w:bookmarkStart w:id="50"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7"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7"/>
    <w:bookmarkStart w:id="29"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1"/>
    <w:bookmarkStart w:id="3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32"/>
    <w:bookmarkStart w:id="3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33"/>
    <w:bookmarkStart w:id="35"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qplot</w:t>
      </w:r>
      <w:r>
        <w:rPr>
          <w:rStyle w:val="NormalTok"/>
        </w:rPr>
        <w:t xml:space="preserve">(</w:t>
      </w:r>
      <w:r>
        <w:rPr>
          <w:rStyle w:val="AttributeTok"/>
        </w:rPr>
        <w:t xml:space="preserve">sample =</w:t>
      </w:r>
      <w:r>
        <w:rPr>
          <w:rStyle w:val="NormalTok"/>
        </w:rPr>
        <w:t xml:space="preserve"> BecasaDeMar</w:t>
      </w:r>
      <w:r>
        <w:rPr>
          <w:rStyle w:val="SpecialCharTok"/>
        </w:rPr>
        <w:t xml:space="preserve">$</w:t>
      </w:r>
      <w:r>
        <w:rPr>
          <w:rStyle w:val="NormalTok"/>
        </w:rPr>
        <w:t xml:space="preserve">mgconsumed, </w:t>
      </w:r>
      <w:r>
        <w:rPr>
          <w:rStyle w:val="AttributeTok"/>
        </w:rPr>
        <w:t xml:space="preserve">stat=</w:t>
      </w:r>
      <w:r>
        <w:rPr>
          <w:rStyle w:val="StringTok"/>
        </w:rPr>
        <w:t xml:space="preserve">"qq"</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7"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3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9"/>
    <w:bookmarkStart w:id="41"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bookmarkStart w:id="4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bookmarkEnd w:id="44"/>
    <w:bookmarkStart w:id="4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45"/>
    <w:bookmarkEnd w:id="46"/>
    <w:bookmarkStart w:id="4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47"/>
    <w:bookmarkStart w:id="49"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2022-03-28T19:02:48Z</dcterms:created>
  <dcterms:modified xsi:type="dcterms:W3CDTF">2022-03-28T19:02:48Z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