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3A9" w14:textId="2B0DBB7E" w:rsidR="00E94019" w:rsidRDefault="00437D99" w:rsidP="00E94019">
      <w:pPr>
        <w:ind w:left="720" w:hanging="360"/>
      </w:pPr>
      <w:r>
        <w:t>Intro-</w:t>
      </w:r>
    </w:p>
    <w:p w14:paraId="1C87EA6D" w14:textId="5CE87BA9" w:rsidR="00E94019" w:rsidRDefault="00E94019" w:rsidP="00E94019">
      <w:pPr>
        <w:pStyle w:val="ListParagraph"/>
        <w:numPr>
          <w:ilvl w:val="0"/>
          <w:numId w:val="1"/>
        </w:numPr>
      </w:pPr>
      <w:r>
        <w:t>Clear cell renal cell carcinoma is most common form of kidney cancer</w:t>
      </w:r>
    </w:p>
    <w:p w14:paraId="5DDCF51C" w14:textId="196719F3" w:rsidR="00E94019" w:rsidRDefault="00E94019" w:rsidP="00E94019">
      <w:pPr>
        <w:pStyle w:val="ListParagraph"/>
        <w:numPr>
          <w:ilvl w:val="0"/>
          <w:numId w:val="1"/>
        </w:numPr>
      </w:pPr>
      <w:r>
        <w:t>Renal cell carcinoma is responsible for 13 000 deaths per year in US, clear cell renal cell carcinoma accounts for 80% of renal cell carcinoma</w:t>
      </w:r>
    </w:p>
    <w:p w14:paraId="235B372E" w14:textId="12F95261" w:rsidR="00E94019" w:rsidRDefault="00E94019" w:rsidP="00E94019">
      <w:pPr>
        <w:pStyle w:val="ListParagraph"/>
        <w:numPr>
          <w:ilvl w:val="0"/>
          <w:numId w:val="1"/>
        </w:numPr>
      </w:pPr>
      <w:r>
        <w:t xml:space="preserve">30% of surgically treated early stage </w:t>
      </w:r>
      <w:proofErr w:type="spellStart"/>
      <w:r>
        <w:t>ccrcc</w:t>
      </w:r>
      <w:proofErr w:type="spellEnd"/>
      <w:r>
        <w:t xml:space="preserve"> patients due to undetected additional metastases</w:t>
      </w:r>
    </w:p>
    <w:p w14:paraId="01DA1A80" w14:textId="3DEB2C39" w:rsidR="00E94019" w:rsidRDefault="00DB1BDF" w:rsidP="00E94019">
      <w:pPr>
        <w:pStyle w:val="ListParagraph"/>
        <w:numPr>
          <w:ilvl w:val="0"/>
          <w:numId w:val="1"/>
        </w:numPr>
      </w:pPr>
      <w:r>
        <w:t xml:space="preserve">5-year survival of metastatic </w:t>
      </w:r>
      <w:proofErr w:type="spellStart"/>
      <w:r>
        <w:t>ccrcc</w:t>
      </w:r>
      <w:proofErr w:type="spellEnd"/>
      <w:r>
        <w:t xml:space="preserve"> is 10%</w:t>
      </w:r>
    </w:p>
    <w:p w14:paraId="020C6DBD" w14:textId="7D6C2A07" w:rsidR="00DB1BDF" w:rsidRDefault="00DB1BDF" w:rsidP="00E94019">
      <w:pPr>
        <w:pStyle w:val="ListParagraph"/>
        <w:numPr>
          <w:ilvl w:val="0"/>
          <w:numId w:val="1"/>
        </w:numPr>
      </w:pPr>
      <w:r>
        <w:t xml:space="preserve">Limited known molecular targets </w:t>
      </w:r>
    </w:p>
    <w:p w14:paraId="39953C9D" w14:textId="35B3DEB6" w:rsidR="00DB1BDF" w:rsidRDefault="00DB1BDF" w:rsidP="00E94019">
      <w:pPr>
        <w:pStyle w:val="ListParagraph"/>
        <w:numPr>
          <w:ilvl w:val="0"/>
          <w:numId w:val="1"/>
        </w:numPr>
      </w:pPr>
      <w:r>
        <w:t xml:space="preserve">Neuronal pentraxin-secreted protein expressed </w:t>
      </w:r>
      <w:proofErr w:type="gramStart"/>
      <w:r>
        <w:t>broadly  in</w:t>
      </w:r>
      <w:proofErr w:type="gramEnd"/>
      <w:r>
        <w:t xml:space="preserve"> nervous, testicular, pancreatic, skeletal muscle, heart, involved in synaptic plasticity and neurite outgrowth.  </w:t>
      </w:r>
    </w:p>
    <w:p w14:paraId="5073B5EC" w14:textId="1B797802" w:rsidR="00C859D6" w:rsidRDefault="00C859D6" w:rsidP="00E94019">
      <w:pPr>
        <w:pStyle w:val="ListParagraph"/>
        <w:numPr>
          <w:ilvl w:val="0"/>
          <w:numId w:val="1"/>
        </w:numPr>
      </w:pPr>
      <w:r>
        <w:t>Binds AMPA glutamate receptors which form ion channels.</w:t>
      </w:r>
    </w:p>
    <w:p w14:paraId="1DFDB5F4" w14:textId="428C09E2" w:rsidR="00C859D6" w:rsidRDefault="00C859D6" w:rsidP="00E94019">
      <w:pPr>
        <w:pStyle w:val="ListParagraph"/>
        <w:numPr>
          <w:ilvl w:val="0"/>
          <w:numId w:val="1"/>
        </w:numPr>
      </w:pPr>
      <w:r>
        <w:t xml:space="preserve">In </w:t>
      </w:r>
      <w:proofErr w:type="spellStart"/>
      <w:r>
        <w:t>ccRCC</w:t>
      </w:r>
      <w:proofErr w:type="spellEnd"/>
      <w:r>
        <w:t>, NPTX2 and AMPA receptor subunit GluR4 are overexpressed, and their interaction facilitates actin cytoskeleton remodelling and subsequent tumour cell migration.  NPTX2 expression inhibition reduces tumour proliferation and invasion while increasing apoptosis</w:t>
      </w:r>
      <w:r w:rsidR="00A46948">
        <w:t xml:space="preserve"> (main)</w:t>
      </w:r>
      <w:r>
        <w:t>.</w:t>
      </w:r>
    </w:p>
    <w:p w14:paraId="744F9D5F" w14:textId="2FF61907" w:rsidR="00437D99" w:rsidRDefault="00C1705E" w:rsidP="00E94019">
      <w:pPr>
        <w:pStyle w:val="ListParagraph"/>
        <w:numPr>
          <w:ilvl w:val="0"/>
          <w:numId w:val="1"/>
        </w:numPr>
      </w:pPr>
      <w:r>
        <w:t>More recently elucidated that NPTX2 mediates tumour progression in prostate cancer (</w:t>
      </w:r>
      <w:r w:rsidRPr="00C1705E">
        <w:t>Fibroblast growth factor modulates mast cell recruitment in a murine model of prostate cancer</w:t>
      </w:r>
      <w:r>
        <w:t>)</w:t>
      </w:r>
      <w:r w:rsidR="002B64B8">
        <w:t xml:space="preserve"> and one of its subunits, C-reactive protein, with tumours (</w:t>
      </w:r>
      <w:hyperlink r:id="rId5" w:history="1">
        <w:r w:rsidR="002B64B8" w:rsidRPr="0031116B">
          <w:rPr>
            <w:rStyle w:val="Hyperlink"/>
          </w:rPr>
          <w:t>https://www.ncbi.nlm.nih.gov/pmc/articles/PMC7461825/</w:t>
        </w:r>
      </w:hyperlink>
      <w:r w:rsidR="002B64B8">
        <w:t xml:space="preserve">).  More recently elucidated that xenografting of tissue with </w:t>
      </w:r>
      <w:r w:rsidR="002B64B8" w:rsidRPr="002B64B8">
        <w:t>circ_0054537</w:t>
      </w:r>
      <w:r w:rsidR="002B64B8">
        <w:t xml:space="preserve"> </w:t>
      </w:r>
      <w:r w:rsidR="00424BFC">
        <w:t>(</w:t>
      </w:r>
      <w:proofErr w:type="spellStart"/>
      <w:r w:rsidR="00424BFC">
        <w:t>ceRNA</w:t>
      </w:r>
      <w:proofErr w:type="spellEnd"/>
      <w:r w:rsidR="00424BFC">
        <w:t xml:space="preserve"> for mir-640, which regulates NPTX2) </w:t>
      </w:r>
      <w:r w:rsidR="002B64B8">
        <w:t>silenced in mice returned clear cell renal cell carcinoma tumour size</w:t>
      </w:r>
      <w:r w:rsidR="00424BFC">
        <w:t xml:space="preserve"> by downregulating NPTX2.</w:t>
      </w:r>
    </w:p>
    <w:p w14:paraId="78F568E4" w14:textId="25FD9129" w:rsidR="00437D99" w:rsidRDefault="00437D99" w:rsidP="00E94019">
      <w:pPr>
        <w:pStyle w:val="ListParagraph"/>
        <w:numPr>
          <w:ilvl w:val="0"/>
          <w:numId w:val="1"/>
        </w:numPr>
      </w:pPr>
      <w:r>
        <w:t>Why do this-</w:t>
      </w:r>
    </w:p>
    <w:p w14:paraId="62CC01D5" w14:textId="65E4DC61" w:rsidR="00C859D6" w:rsidRDefault="00437D99" w:rsidP="00E94019">
      <w:pPr>
        <w:pStyle w:val="ListParagraph"/>
        <w:numPr>
          <w:ilvl w:val="0"/>
          <w:numId w:val="1"/>
        </w:numPr>
      </w:pPr>
      <w:r>
        <w:t>However, it is unlikely that this protein which the paper focused on is the only potential molecular target</w:t>
      </w:r>
      <w:r w:rsidR="00424BFC">
        <w:t xml:space="preserve"> which could be found from the generated data.  This hallmark microarray dataset </w:t>
      </w:r>
      <w:r>
        <w:t xml:space="preserve">should be easily accessible </w:t>
      </w:r>
      <w:r w:rsidR="00424BFC">
        <w:t>to the cancer genetics community without requiring downloading the dataset and redundant re-analysis.  Making a</w:t>
      </w:r>
      <w:r w:rsidR="001C3CE7">
        <w:t xml:space="preserve">n accessible querying web tool also enables access by cancer geneticists who are not experienced in R.  </w:t>
      </w:r>
    </w:p>
    <w:p w14:paraId="17E75AEB" w14:textId="50EACD23" w:rsidR="001C3CE7" w:rsidRDefault="001C3CE7" w:rsidP="00E94019">
      <w:pPr>
        <w:pStyle w:val="ListParagraph"/>
        <w:numPr>
          <w:ilvl w:val="0"/>
          <w:numId w:val="1"/>
        </w:numPr>
      </w:pPr>
      <w:r>
        <w:t xml:space="preserve">Usage in the field-Users can search for a gene of interest or gene ontology term and, from the results page, click on links to gene-specific page </w:t>
      </w:r>
      <w:proofErr w:type="gramStart"/>
      <w:r>
        <w:t>in order to</w:t>
      </w:r>
      <w:proofErr w:type="gramEnd"/>
      <w:r>
        <w:t xml:space="preserve"> access statistical significance and fold change information. </w:t>
      </w:r>
      <w:r w:rsidR="00F56AB0">
        <w:t xml:space="preserve"> From a gene page, they can also access related genes by clicking on the associated gene ontology terms, which returns them to the main search page with this term filled in.  </w:t>
      </w:r>
    </w:p>
    <w:p w14:paraId="5ACCA63C" w14:textId="40852ADB" w:rsidR="00F56AB0" w:rsidRDefault="00F56AB0" w:rsidP="00E94019">
      <w:pPr>
        <w:pStyle w:val="ListParagraph"/>
        <w:numPr>
          <w:ilvl w:val="0"/>
          <w:numId w:val="1"/>
        </w:numPr>
      </w:pPr>
      <w:r>
        <w:t>Issues-</w:t>
      </w:r>
    </w:p>
    <w:p w14:paraId="4FC9DC2A" w14:textId="73D01A32" w:rsidR="00F56AB0" w:rsidRDefault="00F56AB0" w:rsidP="00E94019">
      <w:pPr>
        <w:pStyle w:val="ListParagraph"/>
        <w:numPr>
          <w:ilvl w:val="0"/>
          <w:numId w:val="1"/>
        </w:numPr>
      </w:pPr>
      <w:r>
        <w:t xml:space="preserve">The dataset contains </w:t>
      </w:r>
      <w:r w:rsidRPr="00F56AB0">
        <w:t>54675</w:t>
      </w:r>
      <w:r>
        <w:t xml:space="preserve"> probes and 143 sample, which corresponds </w:t>
      </w:r>
      <w:r w:rsidR="00831FEA">
        <w:t xml:space="preserve">to 7.8 million rows in the expression table.  It was initially found that each additional join increased the result return time nonlinearly, such that joining more than 4 tables was </w:t>
      </w:r>
      <w:proofErr w:type="gramStart"/>
      <w:r w:rsidR="00831FEA">
        <w:t>fairly impractical</w:t>
      </w:r>
      <w:proofErr w:type="gramEnd"/>
      <w:r w:rsidR="00831FEA">
        <w:t xml:space="preserve"> for a convenient web interface.  Therefore, the database was de-normalized slightly from its original 6-table schema to a 4-table schema.  Though this process likely increased database storage size, the gain in runtime efficiency</w:t>
      </w:r>
      <w:r>
        <w:t xml:space="preserve"> </w:t>
      </w:r>
      <w:r w:rsidR="00831FEA">
        <w:t xml:space="preserve">was a worthwhile </w:t>
      </w:r>
      <w:proofErr w:type="spellStart"/>
      <w:r w:rsidR="00831FEA">
        <w:t>tradeoff</w:t>
      </w:r>
      <w:proofErr w:type="spellEnd"/>
      <w:r w:rsidR="00831FEA">
        <w:t xml:space="preserve">.  Even so, some search terms or </w:t>
      </w:r>
      <w:r w:rsidR="008A3A6F">
        <w:t xml:space="preserve">movements from the search page to a gene page can sometimes approach a minute in runtime, which some impatient users might find undesirable.  </w:t>
      </w:r>
      <w:r w:rsidR="00A172B4">
        <w:t>Though reduction of data size by, for example, removing probes with no significant results, would certainly eliminate this issue</w:t>
      </w:r>
      <w:r w:rsidR="00A46948">
        <w:t xml:space="preserve"> for the purposes of the assignment</w:t>
      </w:r>
      <w:r w:rsidR="00A172B4">
        <w:t xml:space="preserve">, </w:t>
      </w:r>
      <w:r w:rsidR="00A46948">
        <w:t xml:space="preserve">such data is still </w:t>
      </w:r>
      <w:proofErr w:type="gramStart"/>
      <w:r w:rsidR="00A46948">
        <w:t>informative</w:t>
      </w:r>
      <w:proofErr w:type="gramEnd"/>
      <w:r w:rsidR="00A46948">
        <w:t xml:space="preserve"> and this step would almost certainly never be performed in practice.  </w:t>
      </w:r>
      <w:r w:rsidR="008A3A6F">
        <w:t xml:space="preserve">It is possible that use of another database style such as a </w:t>
      </w:r>
      <w:r w:rsidR="00A46948">
        <w:lastRenderedPageBreak/>
        <w:t>nonrelational</w:t>
      </w:r>
      <w:r w:rsidR="008A3A6F">
        <w:t xml:space="preserve"> database </w:t>
      </w:r>
      <w:r w:rsidR="00A46948">
        <w:t xml:space="preserve">(perhaps a key-value database with probes used as keys, reducing this access step to </w:t>
      </w:r>
      <w:proofErr w:type="gramStart"/>
      <w:r w:rsidR="00A46948">
        <w:t>O(</w:t>
      </w:r>
      <w:proofErr w:type="gramEnd"/>
      <w:r w:rsidR="00A46948">
        <w:t xml:space="preserve">1)) </w:t>
      </w:r>
      <w:r w:rsidR="008A3A6F">
        <w:t>or data warehouse might improve efficiency</w:t>
      </w:r>
      <w:r w:rsidR="00A46948">
        <w:t xml:space="preserve"> (AWS)</w:t>
      </w:r>
      <w:r w:rsidR="008A3A6F">
        <w:t xml:space="preserve">.  </w:t>
      </w:r>
    </w:p>
    <w:p w14:paraId="1189DE03" w14:textId="3FA19AB4" w:rsidR="009B37FF" w:rsidRDefault="00B81D1F" w:rsidP="009B37FF">
      <w:r w:rsidRPr="00B81D1F">
        <w:drawing>
          <wp:inline distT="0" distB="0" distL="0" distR="0" wp14:anchorId="2CA65B37" wp14:editId="74496B2D">
            <wp:extent cx="5943600" cy="3613150"/>
            <wp:effectExtent l="0" t="0" r="0" b="635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stretch>
                      <a:fillRect/>
                    </a:stretch>
                  </pic:blipFill>
                  <pic:spPr>
                    <a:xfrm>
                      <a:off x="0" y="0"/>
                      <a:ext cx="5943600" cy="3613150"/>
                    </a:xfrm>
                    <a:prstGeom prst="rect">
                      <a:avLst/>
                    </a:prstGeom>
                  </pic:spPr>
                </pic:pic>
              </a:graphicData>
            </a:graphic>
          </wp:inline>
        </w:drawing>
      </w:r>
    </w:p>
    <w:p w14:paraId="35B8C0E2" w14:textId="5DF022AE" w:rsidR="00B81D1F" w:rsidRDefault="00B81D1F" w:rsidP="009B37FF">
      <w:r>
        <w:t xml:space="preserve">Figure 1.  Clear cell Renal cell carcinoma microarray volcano plot with </w:t>
      </w:r>
      <w:r w:rsidR="006811EF">
        <w:t>p-values&lt;0.05 and fold changes&gt;2 highlighted in purple.  Neuronal Pentraxin 2 is colored in red.</w:t>
      </w:r>
    </w:p>
    <w:tbl>
      <w:tblPr>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1144"/>
        <w:gridCol w:w="908"/>
        <w:gridCol w:w="1358"/>
        <w:gridCol w:w="1282"/>
        <w:gridCol w:w="1208"/>
        <w:gridCol w:w="848"/>
      </w:tblGrid>
      <w:tr w:rsidR="00664099" w:rsidRPr="00664099" w14:paraId="5FBFF286" w14:textId="77777777" w:rsidTr="00663056">
        <w:trPr>
          <w:trHeight w:val="286"/>
        </w:trPr>
        <w:tc>
          <w:tcPr>
            <w:tcW w:w="2845" w:type="dxa"/>
            <w:shd w:val="clear" w:color="auto" w:fill="auto"/>
            <w:noWrap/>
            <w:vAlign w:val="bottom"/>
            <w:hideMark/>
          </w:tcPr>
          <w:p w14:paraId="34DE7D2E" w14:textId="77777777" w:rsidR="00664099" w:rsidRPr="00664099" w:rsidRDefault="00664099" w:rsidP="00664099">
            <w:pPr>
              <w:rPr>
                <w:rFonts w:cstheme="minorHAnsi"/>
              </w:rPr>
            </w:pPr>
            <w:r w:rsidRPr="00664099">
              <w:rPr>
                <w:rFonts w:cstheme="minorHAnsi"/>
              </w:rPr>
              <w:t>Term</w:t>
            </w:r>
          </w:p>
        </w:tc>
        <w:tc>
          <w:tcPr>
            <w:tcW w:w="1144" w:type="dxa"/>
            <w:shd w:val="clear" w:color="auto" w:fill="auto"/>
            <w:noWrap/>
            <w:vAlign w:val="bottom"/>
            <w:hideMark/>
          </w:tcPr>
          <w:p w14:paraId="6835F57C" w14:textId="77777777" w:rsidR="00664099" w:rsidRPr="00664099" w:rsidRDefault="00664099" w:rsidP="00664099">
            <w:pPr>
              <w:rPr>
                <w:rFonts w:cstheme="minorHAnsi"/>
              </w:rPr>
            </w:pPr>
            <w:r w:rsidRPr="00664099">
              <w:rPr>
                <w:rFonts w:cstheme="minorHAnsi"/>
              </w:rPr>
              <w:t>%</w:t>
            </w:r>
          </w:p>
        </w:tc>
        <w:tc>
          <w:tcPr>
            <w:tcW w:w="908" w:type="dxa"/>
            <w:shd w:val="clear" w:color="auto" w:fill="auto"/>
            <w:noWrap/>
            <w:vAlign w:val="bottom"/>
            <w:hideMark/>
          </w:tcPr>
          <w:p w14:paraId="79179679" w14:textId="77777777" w:rsidR="00664099" w:rsidRPr="00664099" w:rsidRDefault="00664099" w:rsidP="00664099">
            <w:pPr>
              <w:rPr>
                <w:rFonts w:cstheme="minorHAnsi"/>
              </w:rPr>
            </w:pPr>
            <w:proofErr w:type="spellStart"/>
            <w:r w:rsidRPr="00664099">
              <w:rPr>
                <w:rFonts w:cstheme="minorHAnsi"/>
              </w:rPr>
              <w:t>PValue</w:t>
            </w:r>
            <w:proofErr w:type="spellEnd"/>
          </w:p>
        </w:tc>
        <w:tc>
          <w:tcPr>
            <w:tcW w:w="1358" w:type="dxa"/>
            <w:shd w:val="clear" w:color="auto" w:fill="auto"/>
            <w:noWrap/>
            <w:vAlign w:val="bottom"/>
            <w:hideMark/>
          </w:tcPr>
          <w:p w14:paraId="0688272F" w14:textId="77777777" w:rsidR="00664099" w:rsidRPr="00664099" w:rsidRDefault="00664099" w:rsidP="00664099">
            <w:pPr>
              <w:rPr>
                <w:rFonts w:cstheme="minorHAnsi"/>
              </w:rPr>
            </w:pPr>
            <w:r w:rsidRPr="00664099">
              <w:rPr>
                <w:rFonts w:cstheme="minorHAnsi"/>
              </w:rPr>
              <w:t>Fold Enrichment</w:t>
            </w:r>
          </w:p>
        </w:tc>
        <w:tc>
          <w:tcPr>
            <w:tcW w:w="1282" w:type="dxa"/>
            <w:shd w:val="clear" w:color="auto" w:fill="auto"/>
            <w:noWrap/>
            <w:vAlign w:val="bottom"/>
            <w:hideMark/>
          </w:tcPr>
          <w:p w14:paraId="3053E355" w14:textId="77777777" w:rsidR="00664099" w:rsidRPr="00664099" w:rsidRDefault="00664099" w:rsidP="00664099">
            <w:pPr>
              <w:rPr>
                <w:rFonts w:cstheme="minorHAnsi"/>
              </w:rPr>
            </w:pPr>
            <w:r w:rsidRPr="00664099">
              <w:rPr>
                <w:rFonts w:cstheme="minorHAnsi"/>
              </w:rPr>
              <w:t>Bonferroni</w:t>
            </w:r>
          </w:p>
        </w:tc>
        <w:tc>
          <w:tcPr>
            <w:tcW w:w="1208" w:type="dxa"/>
            <w:shd w:val="clear" w:color="auto" w:fill="auto"/>
            <w:noWrap/>
            <w:vAlign w:val="bottom"/>
            <w:hideMark/>
          </w:tcPr>
          <w:p w14:paraId="1D4502A2" w14:textId="77777777" w:rsidR="00664099" w:rsidRPr="00664099" w:rsidRDefault="00664099" w:rsidP="00664099">
            <w:pPr>
              <w:rPr>
                <w:rFonts w:cstheme="minorHAnsi"/>
              </w:rPr>
            </w:pPr>
            <w:proofErr w:type="spellStart"/>
            <w:r w:rsidRPr="00664099">
              <w:rPr>
                <w:rFonts w:cstheme="minorHAnsi"/>
              </w:rPr>
              <w:t>Benjamini</w:t>
            </w:r>
            <w:proofErr w:type="spellEnd"/>
          </w:p>
        </w:tc>
        <w:tc>
          <w:tcPr>
            <w:tcW w:w="848" w:type="dxa"/>
            <w:shd w:val="clear" w:color="auto" w:fill="auto"/>
            <w:noWrap/>
            <w:vAlign w:val="bottom"/>
            <w:hideMark/>
          </w:tcPr>
          <w:p w14:paraId="7B82B0A7" w14:textId="77777777" w:rsidR="00664099" w:rsidRPr="00664099" w:rsidRDefault="00664099" w:rsidP="00664099">
            <w:pPr>
              <w:rPr>
                <w:rFonts w:cstheme="minorHAnsi"/>
              </w:rPr>
            </w:pPr>
            <w:r w:rsidRPr="00664099">
              <w:rPr>
                <w:rFonts w:cstheme="minorHAnsi"/>
              </w:rPr>
              <w:t>FDR</w:t>
            </w:r>
          </w:p>
        </w:tc>
      </w:tr>
      <w:tr w:rsidR="00664099" w:rsidRPr="00664099" w14:paraId="76FBD598" w14:textId="77777777" w:rsidTr="00663056">
        <w:trPr>
          <w:trHeight w:val="286"/>
        </w:trPr>
        <w:tc>
          <w:tcPr>
            <w:tcW w:w="2845" w:type="dxa"/>
            <w:shd w:val="clear" w:color="auto" w:fill="auto"/>
            <w:noWrap/>
            <w:vAlign w:val="bottom"/>
            <w:hideMark/>
          </w:tcPr>
          <w:p w14:paraId="61C7E242" w14:textId="77777777" w:rsidR="00664099" w:rsidRPr="00664099" w:rsidRDefault="00664099" w:rsidP="00664099">
            <w:pPr>
              <w:rPr>
                <w:rFonts w:cstheme="minorHAnsi"/>
              </w:rPr>
            </w:pPr>
            <w:r w:rsidRPr="00664099">
              <w:rPr>
                <w:rFonts w:cstheme="minorHAnsi"/>
              </w:rPr>
              <w:t>GO:0070062~extracellular exosome</w:t>
            </w:r>
          </w:p>
        </w:tc>
        <w:tc>
          <w:tcPr>
            <w:tcW w:w="1144" w:type="dxa"/>
            <w:shd w:val="clear" w:color="auto" w:fill="auto"/>
            <w:noWrap/>
            <w:vAlign w:val="bottom"/>
            <w:hideMark/>
          </w:tcPr>
          <w:p w14:paraId="4A948416" w14:textId="77777777" w:rsidR="00664099" w:rsidRPr="00664099" w:rsidRDefault="00664099" w:rsidP="00664099">
            <w:pPr>
              <w:rPr>
                <w:rFonts w:cstheme="minorHAnsi"/>
              </w:rPr>
            </w:pPr>
            <w:r w:rsidRPr="00664099">
              <w:rPr>
                <w:rFonts w:cstheme="minorHAnsi"/>
              </w:rPr>
              <w:t>27.76204</w:t>
            </w:r>
          </w:p>
        </w:tc>
        <w:tc>
          <w:tcPr>
            <w:tcW w:w="908" w:type="dxa"/>
            <w:shd w:val="clear" w:color="auto" w:fill="auto"/>
            <w:noWrap/>
            <w:vAlign w:val="bottom"/>
            <w:hideMark/>
          </w:tcPr>
          <w:p w14:paraId="3E9C188F" w14:textId="77777777" w:rsidR="00664099" w:rsidRPr="00664099" w:rsidRDefault="00664099" w:rsidP="00664099">
            <w:pPr>
              <w:rPr>
                <w:rFonts w:cstheme="minorHAnsi"/>
              </w:rPr>
            </w:pPr>
            <w:r w:rsidRPr="00664099">
              <w:rPr>
                <w:rFonts w:cstheme="minorHAnsi"/>
              </w:rPr>
              <w:t>3.87E-20</w:t>
            </w:r>
          </w:p>
        </w:tc>
        <w:tc>
          <w:tcPr>
            <w:tcW w:w="1358" w:type="dxa"/>
            <w:shd w:val="clear" w:color="auto" w:fill="auto"/>
            <w:noWrap/>
            <w:vAlign w:val="bottom"/>
            <w:hideMark/>
          </w:tcPr>
          <w:p w14:paraId="4BD3D9C9" w14:textId="77777777" w:rsidR="00664099" w:rsidRPr="00664099" w:rsidRDefault="00664099" w:rsidP="00664099">
            <w:pPr>
              <w:rPr>
                <w:rFonts w:cstheme="minorHAnsi"/>
              </w:rPr>
            </w:pPr>
            <w:r w:rsidRPr="00664099">
              <w:rPr>
                <w:rFonts w:cstheme="minorHAnsi"/>
              </w:rPr>
              <w:t>2.668511</w:t>
            </w:r>
          </w:p>
        </w:tc>
        <w:tc>
          <w:tcPr>
            <w:tcW w:w="1282" w:type="dxa"/>
            <w:shd w:val="clear" w:color="auto" w:fill="auto"/>
            <w:noWrap/>
            <w:vAlign w:val="bottom"/>
            <w:hideMark/>
          </w:tcPr>
          <w:p w14:paraId="1956DB6C" w14:textId="77777777" w:rsidR="00664099" w:rsidRPr="00664099" w:rsidRDefault="00664099" w:rsidP="00664099">
            <w:pPr>
              <w:rPr>
                <w:rFonts w:cstheme="minorHAnsi"/>
              </w:rPr>
            </w:pPr>
            <w:r w:rsidRPr="00664099">
              <w:rPr>
                <w:rFonts w:cstheme="minorHAnsi"/>
              </w:rPr>
              <w:t>1.23E-17</w:t>
            </w:r>
          </w:p>
        </w:tc>
        <w:tc>
          <w:tcPr>
            <w:tcW w:w="1208" w:type="dxa"/>
            <w:shd w:val="clear" w:color="auto" w:fill="auto"/>
            <w:noWrap/>
            <w:vAlign w:val="bottom"/>
            <w:hideMark/>
          </w:tcPr>
          <w:p w14:paraId="342C8B30" w14:textId="77777777" w:rsidR="00664099" w:rsidRPr="00664099" w:rsidRDefault="00664099" w:rsidP="00664099">
            <w:pPr>
              <w:rPr>
                <w:rFonts w:cstheme="minorHAnsi"/>
              </w:rPr>
            </w:pPr>
            <w:r w:rsidRPr="00664099">
              <w:rPr>
                <w:rFonts w:cstheme="minorHAnsi"/>
              </w:rPr>
              <w:t>1.23E-17</w:t>
            </w:r>
          </w:p>
        </w:tc>
        <w:tc>
          <w:tcPr>
            <w:tcW w:w="848" w:type="dxa"/>
            <w:shd w:val="clear" w:color="auto" w:fill="auto"/>
            <w:noWrap/>
            <w:vAlign w:val="bottom"/>
            <w:hideMark/>
          </w:tcPr>
          <w:p w14:paraId="2BE478D2" w14:textId="77777777" w:rsidR="00664099" w:rsidRPr="00664099" w:rsidRDefault="00664099" w:rsidP="00664099">
            <w:pPr>
              <w:rPr>
                <w:rFonts w:cstheme="minorHAnsi"/>
              </w:rPr>
            </w:pPr>
            <w:r w:rsidRPr="00664099">
              <w:rPr>
                <w:rFonts w:cstheme="minorHAnsi"/>
              </w:rPr>
              <w:t>1.16E-17</w:t>
            </w:r>
          </w:p>
        </w:tc>
      </w:tr>
      <w:tr w:rsidR="00664099" w:rsidRPr="00664099" w14:paraId="33625758" w14:textId="77777777" w:rsidTr="00663056">
        <w:trPr>
          <w:trHeight w:val="286"/>
        </w:trPr>
        <w:tc>
          <w:tcPr>
            <w:tcW w:w="2845" w:type="dxa"/>
            <w:shd w:val="clear" w:color="auto" w:fill="auto"/>
            <w:noWrap/>
            <w:vAlign w:val="bottom"/>
            <w:hideMark/>
          </w:tcPr>
          <w:p w14:paraId="363E2919" w14:textId="77777777" w:rsidR="00664099" w:rsidRPr="00664099" w:rsidRDefault="00664099" w:rsidP="00664099">
            <w:pPr>
              <w:rPr>
                <w:rFonts w:cstheme="minorHAnsi"/>
              </w:rPr>
            </w:pPr>
            <w:proofErr w:type="gramStart"/>
            <w:r w:rsidRPr="00664099">
              <w:rPr>
                <w:rFonts w:cstheme="minorHAnsi"/>
              </w:rPr>
              <w:t>CARBOHYD:N</w:t>
            </w:r>
            <w:proofErr w:type="gramEnd"/>
            <w:r w:rsidRPr="00664099">
              <w:rPr>
                <w:rFonts w:cstheme="minorHAnsi"/>
              </w:rPr>
              <w:t>-linked (</w:t>
            </w:r>
            <w:proofErr w:type="spellStart"/>
            <w:r w:rsidRPr="00664099">
              <w:rPr>
                <w:rFonts w:cstheme="minorHAnsi"/>
              </w:rPr>
              <w:t>GlcNAc</w:t>
            </w:r>
            <w:proofErr w:type="spellEnd"/>
            <w:r w:rsidRPr="00664099">
              <w:rPr>
                <w:rFonts w:cstheme="minorHAnsi"/>
              </w:rPr>
              <w:t>...) asparagine</w:t>
            </w:r>
          </w:p>
        </w:tc>
        <w:tc>
          <w:tcPr>
            <w:tcW w:w="1144" w:type="dxa"/>
            <w:shd w:val="clear" w:color="auto" w:fill="auto"/>
            <w:noWrap/>
            <w:vAlign w:val="bottom"/>
            <w:hideMark/>
          </w:tcPr>
          <w:p w14:paraId="7587BEAF" w14:textId="77777777" w:rsidR="00664099" w:rsidRPr="00664099" w:rsidRDefault="00664099" w:rsidP="00664099">
            <w:pPr>
              <w:rPr>
                <w:rFonts w:cstheme="minorHAnsi"/>
              </w:rPr>
            </w:pPr>
            <w:r w:rsidRPr="00664099">
              <w:rPr>
                <w:rFonts w:cstheme="minorHAnsi"/>
              </w:rPr>
              <w:t>40.50992</w:t>
            </w:r>
          </w:p>
        </w:tc>
        <w:tc>
          <w:tcPr>
            <w:tcW w:w="908" w:type="dxa"/>
            <w:shd w:val="clear" w:color="auto" w:fill="auto"/>
            <w:noWrap/>
            <w:vAlign w:val="bottom"/>
            <w:hideMark/>
          </w:tcPr>
          <w:p w14:paraId="73AB3788" w14:textId="77777777" w:rsidR="00664099" w:rsidRPr="00664099" w:rsidRDefault="00664099" w:rsidP="00664099">
            <w:pPr>
              <w:rPr>
                <w:rFonts w:cstheme="minorHAnsi"/>
              </w:rPr>
            </w:pPr>
            <w:r w:rsidRPr="00664099">
              <w:rPr>
                <w:rFonts w:cstheme="minorHAnsi"/>
              </w:rPr>
              <w:t>6.66E-19</w:t>
            </w:r>
          </w:p>
        </w:tc>
        <w:tc>
          <w:tcPr>
            <w:tcW w:w="1358" w:type="dxa"/>
            <w:shd w:val="clear" w:color="auto" w:fill="auto"/>
            <w:noWrap/>
            <w:vAlign w:val="bottom"/>
            <w:hideMark/>
          </w:tcPr>
          <w:p w14:paraId="03FA8C1A" w14:textId="77777777" w:rsidR="00664099" w:rsidRPr="00664099" w:rsidRDefault="00664099" w:rsidP="00664099">
            <w:pPr>
              <w:rPr>
                <w:rFonts w:cstheme="minorHAnsi"/>
              </w:rPr>
            </w:pPr>
            <w:r w:rsidRPr="00664099">
              <w:rPr>
                <w:rFonts w:cstheme="minorHAnsi"/>
              </w:rPr>
              <w:t>2.005805</w:t>
            </w:r>
          </w:p>
        </w:tc>
        <w:tc>
          <w:tcPr>
            <w:tcW w:w="1282" w:type="dxa"/>
            <w:shd w:val="clear" w:color="auto" w:fill="auto"/>
            <w:noWrap/>
            <w:vAlign w:val="bottom"/>
            <w:hideMark/>
          </w:tcPr>
          <w:p w14:paraId="3DDD7BF7" w14:textId="77777777" w:rsidR="00664099" w:rsidRPr="00664099" w:rsidRDefault="00664099" w:rsidP="00664099">
            <w:pPr>
              <w:rPr>
                <w:rFonts w:cstheme="minorHAnsi"/>
              </w:rPr>
            </w:pPr>
            <w:r w:rsidRPr="00664099">
              <w:rPr>
                <w:rFonts w:cstheme="minorHAnsi"/>
              </w:rPr>
              <w:t>1.07E-15</w:t>
            </w:r>
          </w:p>
        </w:tc>
        <w:tc>
          <w:tcPr>
            <w:tcW w:w="1208" w:type="dxa"/>
            <w:shd w:val="clear" w:color="auto" w:fill="auto"/>
            <w:noWrap/>
            <w:vAlign w:val="bottom"/>
            <w:hideMark/>
          </w:tcPr>
          <w:p w14:paraId="74E9873F" w14:textId="77777777" w:rsidR="00664099" w:rsidRPr="00664099" w:rsidRDefault="00664099" w:rsidP="00664099">
            <w:pPr>
              <w:rPr>
                <w:rFonts w:cstheme="minorHAnsi"/>
              </w:rPr>
            </w:pPr>
            <w:r w:rsidRPr="00664099">
              <w:rPr>
                <w:rFonts w:cstheme="minorHAnsi"/>
              </w:rPr>
              <w:t>1.07E-15</w:t>
            </w:r>
          </w:p>
        </w:tc>
        <w:tc>
          <w:tcPr>
            <w:tcW w:w="848" w:type="dxa"/>
            <w:shd w:val="clear" w:color="auto" w:fill="auto"/>
            <w:noWrap/>
            <w:vAlign w:val="bottom"/>
            <w:hideMark/>
          </w:tcPr>
          <w:p w14:paraId="3DF677E5" w14:textId="77777777" w:rsidR="00664099" w:rsidRPr="00664099" w:rsidRDefault="00664099" w:rsidP="00664099">
            <w:pPr>
              <w:rPr>
                <w:rFonts w:cstheme="minorHAnsi"/>
              </w:rPr>
            </w:pPr>
            <w:r w:rsidRPr="00664099">
              <w:rPr>
                <w:rFonts w:cstheme="minorHAnsi"/>
              </w:rPr>
              <w:t>1.06E-15</w:t>
            </w:r>
          </w:p>
        </w:tc>
      </w:tr>
      <w:tr w:rsidR="00664099" w:rsidRPr="00664099" w14:paraId="66B198E8" w14:textId="77777777" w:rsidTr="00663056">
        <w:trPr>
          <w:trHeight w:val="286"/>
        </w:trPr>
        <w:tc>
          <w:tcPr>
            <w:tcW w:w="2845" w:type="dxa"/>
            <w:shd w:val="clear" w:color="auto" w:fill="auto"/>
            <w:noWrap/>
            <w:vAlign w:val="bottom"/>
            <w:hideMark/>
          </w:tcPr>
          <w:p w14:paraId="5EBDABED" w14:textId="77777777" w:rsidR="00664099" w:rsidRPr="00664099" w:rsidRDefault="00664099" w:rsidP="00664099">
            <w:pPr>
              <w:rPr>
                <w:rFonts w:cstheme="minorHAnsi"/>
              </w:rPr>
            </w:pPr>
            <w:r w:rsidRPr="00664099">
              <w:rPr>
                <w:rFonts w:cstheme="minorHAnsi"/>
              </w:rPr>
              <w:t>KW-0325~Glycoprotein</w:t>
            </w:r>
          </w:p>
        </w:tc>
        <w:tc>
          <w:tcPr>
            <w:tcW w:w="1144" w:type="dxa"/>
            <w:shd w:val="clear" w:color="auto" w:fill="auto"/>
            <w:noWrap/>
            <w:vAlign w:val="bottom"/>
            <w:hideMark/>
          </w:tcPr>
          <w:p w14:paraId="28FA1204" w14:textId="77777777" w:rsidR="00664099" w:rsidRPr="00664099" w:rsidRDefault="00664099" w:rsidP="00664099">
            <w:pPr>
              <w:rPr>
                <w:rFonts w:cstheme="minorHAnsi"/>
              </w:rPr>
            </w:pPr>
            <w:r w:rsidRPr="00664099">
              <w:rPr>
                <w:rFonts w:cstheme="minorHAnsi"/>
              </w:rPr>
              <w:t>43.62606</w:t>
            </w:r>
          </w:p>
        </w:tc>
        <w:tc>
          <w:tcPr>
            <w:tcW w:w="908" w:type="dxa"/>
            <w:shd w:val="clear" w:color="auto" w:fill="auto"/>
            <w:noWrap/>
            <w:vAlign w:val="bottom"/>
            <w:hideMark/>
          </w:tcPr>
          <w:p w14:paraId="1C91EEE9" w14:textId="77777777" w:rsidR="00664099" w:rsidRPr="00664099" w:rsidRDefault="00664099" w:rsidP="00664099">
            <w:pPr>
              <w:rPr>
                <w:rFonts w:cstheme="minorHAnsi"/>
              </w:rPr>
            </w:pPr>
            <w:r w:rsidRPr="00664099">
              <w:rPr>
                <w:rFonts w:cstheme="minorHAnsi"/>
              </w:rPr>
              <w:t>3.41E-16</w:t>
            </w:r>
          </w:p>
        </w:tc>
        <w:tc>
          <w:tcPr>
            <w:tcW w:w="1358" w:type="dxa"/>
            <w:shd w:val="clear" w:color="auto" w:fill="auto"/>
            <w:noWrap/>
            <w:vAlign w:val="bottom"/>
            <w:hideMark/>
          </w:tcPr>
          <w:p w14:paraId="6DCE5966" w14:textId="77777777" w:rsidR="00664099" w:rsidRPr="00664099" w:rsidRDefault="00664099" w:rsidP="00664099">
            <w:pPr>
              <w:rPr>
                <w:rFonts w:cstheme="minorHAnsi"/>
              </w:rPr>
            </w:pPr>
            <w:r w:rsidRPr="00664099">
              <w:rPr>
                <w:rFonts w:cstheme="minorHAnsi"/>
              </w:rPr>
              <w:t>1.725197</w:t>
            </w:r>
          </w:p>
        </w:tc>
        <w:tc>
          <w:tcPr>
            <w:tcW w:w="1282" w:type="dxa"/>
            <w:shd w:val="clear" w:color="auto" w:fill="auto"/>
            <w:noWrap/>
            <w:vAlign w:val="bottom"/>
            <w:hideMark/>
          </w:tcPr>
          <w:p w14:paraId="204896EB" w14:textId="77777777" w:rsidR="00664099" w:rsidRPr="00664099" w:rsidRDefault="00664099" w:rsidP="00664099">
            <w:pPr>
              <w:rPr>
                <w:rFonts w:cstheme="minorHAnsi"/>
              </w:rPr>
            </w:pPr>
            <w:r w:rsidRPr="00664099">
              <w:rPr>
                <w:rFonts w:cstheme="minorHAnsi"/>
              </w:rPr>
              <w:t>9.33E-15</w:t>
            </w:r>
          </w:p>
        </w:tc>
        <w:tc>
          <w:tcPr>
            <w:tcW w:w="1208" w:type="dxa"/>
            <w:shd w:val="clear" w:color="auto" w:fill="auto"/>
            <w:noWrap/>
            <w:vAlign w:val="bottom"/>
            <w:hideMark/>
          </w:tcPr>
          <w:p w14:paraId="1BD26866" w14:textId="77777777" w:rsidR="00664099" w:rsidRPr="00664099" w:rsidRDefault="00664099" w:rsidP="00664099">
            <w:pPr>
              <w:rPr>
                <w:rFonts w:cstheme="minorHAnsi"/>
              </w:rPr>
            </w:pPr>
            <w:r w:rsidRPr="00664099">
              <w:rPr>
                <w:rFonts w:cstheme="minorHAnsi"/>
              </w:rPr>
              <w:t>9.88E-15</w:t>
            </w:r>
          </w:p>
        </w:tc>
        <w:tc>
          <w:tcPr>
            <w:tcW w:w="848" w:type="dxa"/>
            <w:shd w:val="clear" w:color="auto" w:fill="auto"/>
            <w:noWrap/>
            <w:vAlign w:val="bottom"/>
            <w:hideMark/>
          </w:tcPr>
          <w:p w14:paraId="71FBDF47" w14:textId="77777777" w:rsidR="00664099" w:rsidRPr="00664099" w:rsidRDefault="00664099" w:rsidP="00664099">
            <w:pPr>
              <w:rPr>
                <w:rFonts w:cstheme="minorHAnsi"/>
              </w:rPr>
            </w:pPr>
            <w:r w:rsidRPr="00664099">
              <w:rPr>
                <w:rFonts w:cstheme="minorHAnsi"/>
              </w:rPr>
              <w:t>8.52E-15</w:t>
            </w:r>
          </w:p>
        </w:tc>
      </w:tr>
      <w:tr w:rsidR="00664099" w:rsidRPr="00664099" w14:paraId="138A379B" w14:textId="77777777" w:rsidTr="00663056">
        <w:trPr>
          <w:trHeight w:val="286"/>
        </w:trPr>
        <w:tc>
          <w:tcPr>
            <w:tcW w:w="2845" w:type="dxa"/>
            <w:shd w:val="clear" w:color="auto" w:fill="auto"/>
            <w:noWrap/>
            <w:vAlign w:val="bottom"/>
            <w:hideMark/>
          </w:tcPr>
          <w:p w14:paraId="4643EEB2" w14:textId="77777777" w:rsidR="00664099" w:rsidRPr="00664099" w:rsidRDefault="00664099" w:rsidP="00664099">
            <w:pPr>
              <w:rPr>
                <w:rFonts w:cstheme="minorHAnsi"/>
              </w:rPr>
            </w:pPr>
            <w:r w:rsidRPr="00664099">
              <w:rPr>
                <w:rFonts w:cstheme="minorHAnsi"/>
              </w:rPr>
              <w:t>GO:0016324~apical plasma membrane</w:t>
            </w:r>
          </w:p>
        </w:tc>
        <w:tc>
          <w:tcPr>
            <w:tcW w:w="1144" w:type="dxa"/>
            <w:shd w:val="clear" w:color="auto" w:fill="auto"/>
            <w:noWrap/>
            <w:vAlign w:val="bottom"/>
            <w:hideMark/>
          </w:tcPr>
          <w:p w14:paraId="3C853A5A" w14:textId="77777777" w:rsidR="00664099" w:rsidRPr="00664099" w:rsidRDefault="00664099" w:rsidP="00664099">
            <w:pPr>
              <w:rPr>
                <w:rFonts w:cstheme="minorHAnsi"/>
              </w:rPr>
            </w:pPr>
            <w:r w:rsidRPr="00664099">
              <w:rPr>
                <w:rFonts w:cstheme="minorHAnsi"/>
              </w:rPr>
              <w:t>9.631728</w:t>
            </w:r>
          </w:p>
        </w:tc>
        <w:tc>
          <w:tcPr>
            <w:tcW w:w="908" w:type="dxa"/>
            <w:shd w:val="clear" w:color="auto" w:fill="auto"/>
            <w:noWrap/>
            <w:vAlign w:val="bottom"/>
            <w:hideMark/>
          </w:tcPr>
          <w:p w14:paraId="5E1C64B6" w14:textId="77777777" w:rsidR="00664099" w:rsidRPr="00664099" w:rsidRDefault="00664099" w:rsidP="00664099">
            <w:pPr>
              <w:rPr>
                <w:rFonts w:cstheme="minorHAnsi"/>
              </w:rPr>
            </w:pPr>
            <w:r w:rsidRPr="00664099">
              <w:rPr>
                <w:rFonts w:cstheme="minorHAnsi"/>
              </w:rPr>
              <w:t>3.03E-15</w:t>
            </w:r>
          </w:p>
        </w:tc>
        <w:tc>
          <w:tcPr>
            <w:tcW w:w="1358" w:type="dxa"/>
            <w:shd w:val="clear" w:color="auto" w:fill="auto"/>
            <w:noWrap/>
            <w:vAlign w:val="bottom"/>
            <w:hideMark/>
          </w:tcPr>
          <w:p w14:paraId="479E7BE8" w14:textId="77777777" w:rsidR="00664099" w:rsidRPr="00664099" w:rsidRDefault="00664099" w:rsidP="00664099">
            <w:pPr>
              <w:rPr>
                <w:rFonts w:cstheme="minorHAnsi"/>
              </w:rPr>
            </w:pPr>
            <w:r w:rsidRPr="00664099">
              <w:rPr>
                <w:rFonts w:cstheme="minorHAnsi"/>
              </w:rPr>
              <w:t>5.562387</w:t>
            </w:r>
          </w:p>
        </w:tc>
        <w:tc>
          <w:tcPr>
            <w:tcW w:w="1282" w:type="dxa"/>
            <w:shd w:val="clear" w:color="auto" w:fill="auto"/>
            <w:noWrap/>
            <w:vAlign w:val="bottom"/>
            <w:hideMark/>
          </w:tcPr>
          <w:p w14:paraId="2604422F" w14:textId="77777777" w:rsidR="00664099" w:rsidRPr="00664099" w:rsidRDefault="00664099" w:rsidP="00664099">
            <w:pPr>
              <w:rPr>
                <w:rFonts w:cstheme="minorHAnsi"/>
              </w:rPr>
            </w:pPr>
            <w:r w:rsidRPr="00664099">
              <w:rPr>
                <w:rFonts w:cstheme="minorHAnsi"/>
              </w:rPr>
              <w:t>9.53E-13</w:t>
            </w:r>
          </w:p>
        </w:tc>
        <w:tc>
          <w:tcPr>
            <w:tcW w:w="1208" w:type="dxa"/>
            <w:shd w:val="clear" w:color="auto" w:fill="auto"/>
            <w:noWrap/>
            <w:vAlign w:val="bottom"/>
            <w:hideMark/>
          </w:tcPr>
          <w:p w14:paraId="0C6BC2D2" w14:textId="77777777" w:rsidR="00664099" w:rsidRPr="00664099" w:rsidRDefault="00664099" w:rsidP="00664099">
            <w:pPr>
              <w:rPr>
                <w:rFonts w:cstheme="minorHAnsi"/>
              </w:rPr>
            </w:pPr>
            <w:r w:rsidRPr="00664099">
              <w:rPr>
                <w:rFonts w:cstheme="minorHAnsi"/>
              </w:rPr>
              <w:t>4.82E-13</w:t>
            </w:r>
          </w:p>
        </w:tc>
        <w:tc>
          <w:tcPr>
            <w:tcW w:w="848" w:type="dxa"/>
            <w:shd w:val="clear" w:color="auto" w:fill="auto"/>
            <w:noWrap/>
            <w:vAlign w:val="bottom"/>
            <w:hideMark/>
          </w:tcPr>
          <w:p w14:paraId="1D1D992E" w14:textId="77777777" w:rsidR="00664099" w:rsidRPr="00664099" w:rsidRDefault="00664099" w:rsidP="00664099">
            <w:pPr>
              <w:rPr>
                <w:rFonts w:cstheme="minorHAnsi"/>
              </w:rPr>
            </w:pPr>
            <w:r w:rsidRPr="00664099">
              <w:rPr>
                <w:rFonts w:cstheme="minorHAnsi"/>
              </w:rPr>
              <w:t>4.53E-13</w:t>
            </w:r>
          </w:p>
        </w:tc>
      </w:tr>
      <w:tr w:rsidR="00664099" w:rsidRPr="00664099" w14:paraId="411CF33B" w14:textId="77777777" w:rsidTr="00663056">
        <w:trPr>
          <w:trHeight w:val="286"/>
        </w:trPr>
        <w:tc>
          <w:tcPr>
            <w:tcW w:w="2845" w:type="dxa"/>
            <w:shd w:val="clear" w:color="auto" w:fill="auto"/>
            <w:noWrap/>
            <w:vAlign w:val="bottom"/>
            <w:hideMark/>
          </w:tcPr>
          <w:p w14:paraId="3883EA22" w14:textId="77777777" w:rsidR="00664099" w:rsidRPr="00664099" w:rsidRDefault="00664099" w:rsidP="00664099">
            <w:pPr>
              <w:rPr>
                <w:rFonts w:cstheme="minorHAnsi"/>
              </w:rPr>
            </w:pPr>
            <w:r w:rsidRPr="00664099">
              <w:rPr>
                <w:rFonts w:cstheme="minorHAnsi"/>
              </w:rPr>
              <w:t>KW-0732~Signal</w:t>
            </w:r>
          </w:p>
        </w:tc>
        <w:tc>
          <w:tcPr>
            <w:tcW w:w="1144" w:type="dxa"/>
            <w:shd w:val="clear" w:color="auto" w:fill="auto"/>
            <w:noWrap/>
            <w:vAlign w:val="bottom"/>
            <w:hideMark/>
          </w:tcPr>
          <w:p w14:paraId="742D29B8" w14:textId="77777777" w:rsidR="00664099" w:rsidRPr="00664099" w:rsidRDefault="00664099" w:rsidP="00664099">
            <w:pPr>
              <w:rPr>
                <w:rFonts w:cstheme="minorHAnsi"/>
              </w:rPr>
            </w:pPr>
            <w:r w:rsidRPr="00664099">
              <w:rPr>
                <w:rFonts w:cstheme="minorHAnsi"/>
              </w:rPr>
              <w:t>39.66006</w:t>
            </w:r>
          </w:p>
        </w:tc>
        <w:tc>
          <w:tcPr>
            <w:tcW w:w="908" w:type="dxa"/>
            <w:shd w:val="clear" w:color="auto" w:fill="auto"/>
            <w:noWrap/>
            <w:vAlign w:val="bottom"/>
            <w:hideMark/>
          </w:tcPr>
          <w:p w14:paraId="03A6732E" w14:textId="77777777" w:rsidR="00664099" w:rsidRPr="00664099" w:rsidRDefault="00664099" w:rsidP="00664099">
            <w:pPr>
              <w:rPr>
                <w:rFonts w:cstheme="minorHAnsi"/>
              </w:rPr>
            </w:pPr>
            <w:r w:rsidRPr="00664099">
              <w:rPr>
                <w:rFonts w:cstheme="minorHAnsi"/>
              </w:rPr>
              <w:t>1.41E-14</w:t>
            </w:r>
          </w:p>
        </w:tc>
        <w:tc>
          <w:tcPr>
            <w:tcW w:w="1358" w:type="dxa"/>
            <w:shd w:val="clear" w:color="auto" w:fill="auto"/>
            <w:noWrap/>
            <w:vAlign w:val="bottom"/>
            <w:hideMark/>
          </w:tcPr>
          <w:p w14:paraId="4E1499EF" w14:textId="77777777" w:rsidR="00664099" w:rsidRPr="00664099" w:rsidRDefault="00664099" w:rsidP="00664099">
            <w:pPr>
              <w:rPr>
                <w:rFonts w:cstheme="minorHAnsi"/>
              </w:rPr>
            </w:pPr>
            <w:r w:rsidRPr="00664099">
              <w:rPr>
                <w:rFonts w:cstheme="minorHAnsi"/>
              </w:rPr>
              <w:t>1.76155</w:t>
            </w:r>
          </w:p>
        </w:tc>
        <w:tc>
          <w:tcPr>
            <w:tcW w:w="1282" w:type="dxa"/>
            <w:shd w:val="clear" w:color="auto" w:fill="auto"/>
            <w:noWrap/>
            <w:vAlign w:val="bottom"/>
            <w:hideMark/>
          </w:tcPr>
          <w:p w14:paraId="07623D32" w14:textId="77777777" w:rsidR="00664099" w:rsidRPr="00664099" w:rsidRDefault="00664099" w:rsidP="00664099">
            <w:pPr>
              <w:rPr>
                <w:rFonts w:cstheme="minorHAnsi"/>
              </w:rPr>
            </w:pPr>
            <w:r w:rsidRPr="00664099">
              <w:rPr>
                <w:rFonts w:cstheme="minorHAnsi"/>
              </w:rPr>
              <w:t>3.10E-13</w:t>
            </w:r>
          </w:p>
        </w:tc>
        <w:tc>
          <w:tcPr>
            <w:tcW w:w="1208" w:type="dxa"/>
            <w:shd w:val="clear" w:color="auto" w:fill="auto"/>
            <w:noWrap/>
            <w:vAlign w:val="bottom"/>
            <w:hideMark/>
          </w:tcPr>
          <w:p w14:paraId="5ED252B2" w14:textId="77777777" w:rsidR="00664099" w:rsidRPr="00664099" w:rsidRDefault="00664099" w:rsidP="00664099">
            <w:pPr>
              <w:rPr>
                <w:rFonts w:cstheme="minorHAnsi"/>
              </w:rPr>
            </w:pPr>
            <w:r w:rsidRPr="00664099">
              <w:rPr>
                <w:rFonts w:cstheme="minorHAnsi"/>
              </w:rPr>
              <w:t>3.09E-13</w:t>
            </w:r>
          </w:p>
        </w:tc>
        <w:tc>
          <w:tcPr>
            <w:tcW w:w="848" w:type="dxa"/>
            <w:shd w:val="clear" w:color="auto" w:fill="auto"/>
            <w:noWrap/>
            <w:vAlign w:val="bottom"/>
            <w:hideMark/>
          </w:tcPr>
          <w:p w14:paraId="45BB64F5" w14:textId="77777777" w:rsidR="00664099" w:rsidRPr="00664099" w:rsidRDefault="00664099" w:rsidP="00664099">
            <w:pPr>
              <w:rPr>
                <w:rFonts w:cstheme="minorHAnsi"/>
              </w:rPr>
            </w:pPr>
            <w:r w:rsidRPr="00664099">
              <w:rPr>
                <w:rFonts w:cstheme="minorHAnsi"/>
              </w:rPr>
              <w:t>2.67E-13</w:t>
            </w:r>
          </w:p>
        </w:tc>
      </w:tr>
      <w:tr w:rsidR="00664099" w:rsidRPr="00664099" w14:paraId="6A471CAD" w14:textId="77777777" w:rsidTr="00663056">
        <w:trPr>
          <w:trHeight w:val="286"/>
        </w:trPr>
        <w:tc>
          <w:tcPr>
            <w:tcW w:w="2845" w:type="dxa"/>
            <w:shd w:val="clear" w:color="auto" w:fill="auto"/>
            <w:noWrap/>
            <w:vAlign w:val="bottom"/>
            <w:hideMark/>
          </w:tcPr>
          <w:p w14:paraId="0EABEB50" w14:textId="77777777" w:rsidR="00664099" w:rsidRPr="00664099" w:rsidRDefault="00664099" w:rsidP="00664099">
            <w:pPr>
              <w:rPr>
                <w:rFonts w:cstheme="minorHAnsi"/>
              </w:rPr>
            </w:pPr>
            <w:r w:rsidRPr="00664099">
              <w:rPr>
                <w:rFonts w:cstheme="minorHAnsi"/>
              </w:rPr>
              <w:t>GO:0016323~basolateral plasma membrane</w:t>
            </w:r>
          </w:p>
        </w:tc>
        <w:tc>
          <w:tcPr>
            <w:tcW w:w="1144" w:type="dxa"/>
            <w:shd w:val="clear" w:color="auto" w:fill="auto"/>
            <w:noWrap/>
            <w:vAlign w:val="bottom"/>
            <w:hideMark/>
          </w:tcPr>
          <w:p w14:paraId="65CA9AC0" w14:textId="77777777" w:rsidR="00664099" w:rsidRPr="00664099" w:rsidRDefault="00664099" w:rsidP="00664099">
            <w:pPr>
              <w:rPr>
                <w:rFonts w:cstheme="minorHAnsi"/>
              </w:rPr>
            </w:pPr>
            <w:r w:rsidRPr="00664099">
              <w:rPr>
                <w:rFonts w:cstheme="minorHAnsi"/>
              </w:rPr>
              <w:t>7.365439</w:t>
            </w:r>
          </w:p>
        </w:tc>
        <w:tc>
          <w:tcPr>
            <w:tcW w:w="908" w:type="dxa"/>
            <w:shd w:val="clear" w:color="auto" w:fill="auto"/>
            <w:noWrap/>
            <w:vAlign w:val="bottom"/>
            <w:hideMark/>
          </w:tcPr>
          <w:p w14:paraId="289F91E4" w14:textId="77777777" w:rsidR="00664099" w:rsidRPr="00664099" w:rsidRDefault="00664099" w:rsidP="00664099">
            <w:pPr>
              <w:rPr>
                <w:rFonts w:cstheme="minorHAnsi"/>
              </w:rPr>
            </w:pPr>
            <w:r w:rsidRPr="00664099">
              <w:rPr>
                <w:rFonts w:cstheme="minorHAnsi"/>
              </w:rPr>
              <w:t>1.61E-13</w:t>
            </w:r>
          </w:p>
        </w:tc>
        <w:tc>
          <w:tcPr>
            <w:tcW w:w="1358" w:type="dxa"/>
            <w:shd w:val="clear" w:color="auto" w:fill="auto"/>
            <w:noWrap/>
            <w:vAlign w:val="bottom"/>
            <w:hideMark/>
          </w:tcPr>
          <w:p w14:paraId="153BAD80" w14:textId="77777777" w:rsidR="00664099" w:rsidRPr="00664099" w:rsidRDefault="00664099" w:rsidP="00664099">
            <w:pPr>
              <w:rPr>
                <w:rFonts w:cstheme="minorHAnsi"/>
              </w:rPr>
            </w:pPr>
            <w:r w:rsidRPr="00664099">
              <w:rPr>
                <w:rFonts w:cstheme="minorHAnsi"/>
              </w:rPr>
              <w:t>6.679042</w:t>
            </w:r>
          </w:p>
        </w:tc>
        <w:tc>
          <w:tcPr>
            <w:tcW w:w="1282" w:type="dxa"/>
            <w:shd w:val="clear" w:color="auto" w:fill="auto"/>
            <w:noWrap/>
            <w:vAlign w:val="bottom"/>
            <w:hideMark/>
          </w:tcPr>
          <w:p w14:paraId="2D7BD07B" w14:textId="77777777" w:rsidR="00664099" w:rsidRPr="00664099" w:rsidRDefault="00664099" w:rsidP="00664099">
            <w:pPr>
              <w:rPr>
                <w:rFonts w:cstheme="minorHAnsi"/>
              </w:rPr>
            </w:pPr>
            <w:r w:rsidRPr="00664099">
              <w:rPr>
                <w:rFonts w:cstheme="minorHAnsi"/>
              </w:rPr>
              <w:t>5.13E-11</w:t>
            </w:r>
          </w:p>
        </w:tc>
        <w:tc>
          <w:tcPr>
            <w:tcW w:w="1208" w:type="dxa"/>
            <w:shd w:val="clear" w:color="auto" w:fill="auto"/>
            <w:noWrap/>
            <w:vAlign w:val="bottom"/>
            <w:hideMark/>
          </w:tcPr>
          <w:p w14:paraId="01F9D561" w14:textId="77777777" w:rsidR="00664099" w:rsidRPr="00664099" w:rsidRDefault="00664099" w:rsidP="00664099">
            <w:pPr>
              <w:rPr>
                <w:rFonts w:cstheme="minorHAnsi"/>
              </w:rPr>
            </w:pPr>
            <w:r w:rsidRPr="00664099">
              <w:rPr>
                <w:rFonts w:cstheme="minorHAnsi"/>
              </w:rPr>
              <w:t>1.71E-11</w:t>
            </w:r>
          </w:p>
        </w:tc>
        <w:tc>
          <w:tcPr>
            <w:tcW w:w="848" w:type="dxa"/>
            <w:shd w:val="clear" w:color="auto" w:fill="auto"/>
            <w:noWrap/>
            <w:vAlign w:val="bottom"/>
            <w:hideMark/>
          </w:tcPr>
          <w:p w14:paraId="687BA3C8" w14:textId="77777777" w:rsidR="00664099" w:rsidRPr="00664099" w:rsidRDefault="00664099" w:rsidP="00664099">
            <w:pPr>
              <w:rPr>
                <w:rFonts w:cstheme="minorHAnsi"/>
              </w:rPr>
            </w:pPr>
            <w:r w:rsidRPr="00664099">
              <w:rPr>
                <w:rFonts w:cstheme="minorHAnsi"/>
              </w:rPr>
              <w:t>1.61E-11</w:t>
            </w:r>
          </w:p>
        </w:tc>
      </w:tr>
      <w:tr w:rsidR="00664099" w:rsidRPr="00664099" w14:paraId="11F730D0" w14:textId="77777777" w:rsidTr="00663056">
        <w:trPr>
          <w:trHeight w:val="286"/>
        </w:trPr>
        <w:tc>
          <w:tcPr>
            <w:tcW w:w="2845" w:type="dxa"/>
            <w:shd w:val="clear" w:color="auto" w:fill="auto"/>
            <w:noWrap/>
            <w:vAlign w:val="bottom"/>
            <w:hideMark/>
          </w:tcPr>
          <w:p w14:paraId="452414B4" w14:textId="77777777" w:rsidR="00664099" w:rsidRPr="00664099" w:rsidRDefault="00664099" w:rsidP="00664099">
            <w:pPr>
              <w:rPr>
                <w:rFonts w:cstheme="minorHAnsi"/>
              </w:rPr>
            </w:pPr>
            <w:r w:rsidRPr="00664099">
              <w:rPr>
                <w:rFonts w:cstheme="minorHAnsi"/>
              </w:rPr>
              <w:lastRenderedPageBreak/>
              <w:t>GO:0005615~extracellular space</w:t>
            </w:r>
          </w:p>
        </w:tc>
        <w:tc>
          <w:tcPr>
            <w:tcW w:w="1144" w:type="dxa"/>
            <w:shd w:val="clear" w:color="auto" w:fill="auto"/>
            <w:noWrap/>
            <w:vAlign w:val="bottom"/>
            <w:hideMark/>
          </w:tcPr>
          <w:p w14:paraId="3B69D36C" w14:textId="77777777" w:rsidR="00664099" w:rsidRPr="00664099" w:rsidRDefault="00664099" w:rsidP="00664099">
            <w:pPr>
              <w:rPr>
                <w:rFonts w:cstheme="minorHAnsi"/>
              </w:rPr>
            </w:pPr>
            <w:r w:rsidRPr="00664099">
              <w:rPr>
                <w:rFonts w:cstheme="minorHAnsi"/>
              </w:rPr>
              <w:t>21.52975</w:t>
            </w:r>
          </w:p>
        </w:tc>
        <w:tc>
          <w:tcPr>
            <w:tcW w:w="908" w:type="dxa"/>
            <w:shd w:val="clear" w:color="auto" w:fill="auto"/>
            <w:noWrap/>
            <w:vAlign w:val="bottom"/>
            <w:hideMark/>
          </w:tcPr>
          <w:p w14:paraId="65E0B517" w14:textId="77777777" w:rsidR="00664099" w:rsidRPr="00664099" w:rsidRDefault="00664099" w:rsidP="00664099">
            <w:pPr>
              <w:rPr>
                <w:rFonts w:cstheme="minorHAnsi"/>
              </w:rPr>
            </w:pPr>
            <w:r w:rsidRPr="00664099">
              <w:rPr>
                <w:rFonts w:cstheme="minorHAnsi"/>
              </w:rPr>
              <w:t>7.10E-13</w:t>
            </w:r>
          </w:p>
        </w:tc>
        <w:tc>
          <w:tcPr>
            <w:tcW w:w="1358" w:type="dxa"/>
            <w:shd w:val="clear" w:color="auto" w:fill="auto"/>
            <w:noWrap/>
            <w:vAlign w:val="bottom"/>
            <w:hideMark/>
          </w:tcPr>
          <w:p w14:paraId="225A6D54" w14:textId="77777777" w:rsidR="00664099" w:rsidRPr="00664099" w:rsidRDefault="00664099" w:rsidP="00664099">
            <w:pPr>
              <w:rPr>
                <w:rFonts w:cstheme="minorHAnsi"/>
              </w:rPr>
            </w:pPr>
            <w:r w:rsidRPr="00664099">
              <w:rPr>
                <w:rFonts w:cstheme="minorHAnsi"/>
              </w:rPr>
              <w:t>2.407129</w:t>
            </w:r>
          </w:p>
        </w:tc>
        <w:tc>
          <w:tcPr>
            <w:tcW w:w="1282" w:type="dxa"/>
            <w:shd w:val="clear" w:color="auto" w:fill="auto"/>
            <w:noWrap/>
            <w:vAlign w:val="bottom"/>
            <w:hideMark/>
          </w:tcPr>
          <w:p w14:paraId="0220F474" w14:textId="77777777" w:rsidR="00664099" w:rsidRPr="00664099" w:rsidRDefault="00664099" w:rsidP="00664099">
            <w:pPr>
              <w:rPr>
                <w:rFonts w:cstheme="minorHAnsi"/>
              </w:rPr>
            </w:pPr>
            <w:r w:rsidRPr="00664099">
              <w:rPr>
                <w:rFonts w:cstheme="minorHAnsi"/>
              </w:rPr>
              <w:t>2.26E-10</w:t>
            </w:r>
          </w:p>
        </w:tc>
        <w:tc>
          <w:tcPr>
            <w:tcW w:w="1208" w:type="dxa"/>
            <w:shd w:val="clear" w:color="auto" w:fill="auto"/>
            <w:noWrap/>
            <w:vAlign w:val="bottom"/>
            <w:hideMark/>
          </w:tcPr>
          <w:p w14:paraId="454EBDD0" w14:textId="77777777" w:rsidR="00664099" w:rsidRPr="00664099" w:rsidRDefault="00664099" w:rsidP="00664099">
            <w:pPr>
              <w:rPr>
                <w:rFonts w:cstheme="minorHAnsi"/>
              </w:rPr>
            </w:pPr>
            <w:r w:rsidRPr="00664099">
              <w:rPr>
                <w:rFonts w:cstheme="minorHAnsi"/>
              </w:rPr>
              <w:t>5.65E-11</w:t>
            </w:r>
          </w:p>
        </w:tc>
        <w:tc>
          <w:tcPr>
            <w:tcW w:w="848" w:type="dxa"/>
            <w:shd w:val="clear" w:color="auto" w:fill="auto"/>
            <w:noWrap/>
            <w:vAlign w:val="bottom"/>
            <w:hideMark/>
          </w:tcPr>
          <w:p w14:paraId="78D4ACD4" w14:textId="77777777" w:rsidR="00664099" w:rsidRPr="00664099" w:rsidRDefault="00664099" w:rsidP="00664099">
            <w:pPr>
              <w:rPr>
                <w:rFonts w:cstheme="minorHAnsi"/>
              </w:rPr>
            </w:pPr>
            <w:r w:rsidRPr="00664099">
              <w:rPr>
                <w:rFonts w:cstheme="minorHAnsi"/>
              </w:rPr>
              <w:t>5.31E-11</w:t>
            </w:r>
          </w:p>
        </w:tc>
      </w:tr>
      <w:tr w:rsidR="00664099" w:rsidRPr="00664099" w14:paraId="06A9E009" w14:textId="77777777" w:rsidTr="00663056">
        <w:trPr>
          <w:trHeight w:val="286"/>
        </w:trPr>
        <w:tc>
          <w:tcPr>
            <w:tcW w:w="2845" w:type="dxa"/>
            <w:shd w:val="clear" w:color="auto" w:fill="auto"/>
            <w:noWrap/>
            <w:vAlign w:val="bottom"/>
            <w:hideMark/>
          </w:tcPr>
          <w:p w14:paraId="53184F56" w14:textId="77777777" w:rsidR="00664099" w:rsidRPr="00664099" w:rsidRDefault="00664099" w:rsidP="00664099">
            <w:pPr>
              <w:rPr>
                <w:rFonts w:cstheme="minorHAnsi"/>
              </w:rPr>
            </w:pPr>
            <w:r w:rsidRPr="00664099">
              <w:rPr>
                <w:rFonts w:cstheme="minorHAnsi"/>
              </w:rPr>
              <w:t>KW-0964~Secreted</w:t>
            </w:r>
          </w:p>
        </w:tc>
        <w:tc>
          <w:tcPr>
            <w:tcW w:w="1144" w:type="dxa"/>
            <w:shd w:val="clear" w:color="auto" w:fill="auto"/>
            <w:noWrap/>
            <w:vAlign w:val="bottom"/>
            <w:hideMark/>
          </w:tcPr>
          <w:p w14:paraId="69D4A549" w14:textId="77777777" w:rsidR="00664099" w:rsidRPr="00664099" w:rsidRDefault="00664099" w:rsidP="00664099">
            <w:pPr>
              <w:rPr>
                <w:rFonts w:cstheme="minorHAnsi"/>
              </w:rPr>
            </w:pPr>
            <w:r w:rsidRPr="00664099">
              <w:rPr>
                <w:rFonts w:cstheme="minorHAnsi"/>
              </w:rPr>
              <w:t>23.51275</w:t>
            </w:r>
          </w:p>
        </w:tc>
        <w:tc>
          <w:tcPr>
            <w:tcW w:w="908" w:type="dxa"/>
            <w:shd w:val="clear" w:color="auto" w:fill="auto"/>
            <w:noWrap/>
            <w:vAlign w:val="bottom"/>
            <w:hideMark/>
          </w:tcPr>
          <w:p w14:paraId="1DD5D79C" w14:textId="77777777" w:rsidR="00664099" w:rsidRPr="00664099" w:rsidRDefault="00664099" w:rsidP="00664099">
            <w:pPr>
              <w:rPr>
                <w:rFonts w:cstheme="minorHAnsi"/>
              </w:rPr>
            </w:pPr>
            <w:r w:rsidRPr="00664099">
              <w:rPr>
                <w:rFonts w:cstheme="minorHAnsi"/>
              </w:rPr>
              <w:t>4.79E-12</w:t>
            </w:r>
          </w:p>
        </w:tc>
        <w:tc>
          <w:tcPr>
            <w:tcW w:w="1358" w:type="dxa"/>
            <w:shd w:val="clear" w:color="auto" w:fill="auto"/>
            <w:noWrap/>
            <w:vAlign w:val="bottom"/>
            <w:hideMark/>
          </w:tcPr>
          <w:p w14:paraId="44F280E8" w14:textId="77777777" w:rsidR="00664099" w:rsidRPr="00664099" w:rsidRDefault="00664099" w:rsidP="00664099">
            <w:pPr>
              <w:rPr>
                <w:rFonts w:cstheme="minorHAnsi"/>
              </w:rPr>
            </w:pPr>
            <w:r w:rsidRPr="00664099">
              <w:rPr>
                <w:rFonts w:cstheme="minorHAnsi"/>
              </w:rPr>
              <w:t>2.187707</w:t>
            </w:r>
          </w:p>
        </w:tc>
        <w:tc>
          <w:tcPr>
            <w:tcW w:w="1282" w:type="dxa"/>
            <w:shd w:val="clear" w:color="auto" w:fill="auto"/>
            <w:noWrap/>
            <w:vAlign w:val="bottom"/>
            <w:hideMark/>
          </w:tcPr>
          <w:p w14:paraId="26480E89" w14:textId="77777777" w:rsidR="00664099" w:rsidRPr="00664099" w:rsidRDefault="00664099" w:rsidP="00664099">
            <w:pPr>
              <w:rPr>
                <w:rFonts w:cstheme="minorHAnsi"/>
              </w:rPr>
            </w:pPr>
            <w:r w:rsidRPr="00664099">
              <w:rPr>
                <w:rFonts w:cstheme="minorHAnsi"/>
              </w:rPr>
              <w:t>1.82E-10</w:t>
            </w:r>
          </w:p>
        </w:tc>
        <w:tc>
          <w:tcPr>
            <w:tcW w:w="1208" w:type="dxa"/>
            <w:shd w:val="clear" w:color="auto" w:fill="auto"/>
            <w:noWrap/>
            <w:vAlign w:val="bottom"/>
            <w:hideMark/>
          </w:tcPr>
          <w:p w14:paraId="356277D6" w14:textId="77777777" w:rsidR="00664099" w:rsidRPr="00664099" w:rsidRDefault="00664099" w:rsidP="00664099">
            <w:pPr>
              <w:rPr>
                <w:rFonts w:cstheme="minorHAnsi"/>
              </w:rPr>
            </w:pPr>
            <w:r w:rsidRPr="00664099">
              <w:rPr>
                <w:rFonts w:cstheme="minorHAnsi"/>
              </w:rPr>
              <w:t>1.82E-10</w:t>
            </w:r>
          </w:p>
        </w:tc>
        <w:tc>
          <w:tcPr>
            <w:tcW w:w="848" w:type="dxa"/>
            <w:shd w:val="clear" w:color="auto" w:fill="auto"/>
            <w:noWrap/>
            <w:vAlign w:val="bottom"/>
            <w:hideMark/>
          </w:tcPr>
          <w:p w14:paraId="1D9C0CF5" w14:textId="77777777" w:rsidR="00664099" w:rsidRPr="00664099" w:rsidRDefault="00664099" w:rsidP="00664099">
            <w:pPr>
              <w:rPr>
                <w:rFonts w:cstheme="minorHAnsi"/>
              </w:rPr>
            </w:pPr>
            <w:r w:rsidRPr="00664099">
              <w:rPr>
                <w:rFonts w:cstheme="minorHAnsi"/>
              </w:rPr>
              <w:t>1.63E-10</w:t>
            </w:r>
          </w:p>
        </w:tc>
      </w:tr>
      <w:tr w:rsidR="00664099" w:rsidRPr="00664099" w14:paraId="4083362D" w14:textId="77777777" w:rsidTr="00663056">
        <w:trPr>
          <w:trHeight w:val="286"/>
        </w:trPr>
        <w:tc>
          <w:tcPr>
            <w:tcW w:w="2845" w:type="dxa"/>
            <w:shd w:val="clear" w:color="auto" w:fill="auto"/>
            <w:noWrap/>
            <w:vAlign w:val="bottom"/>
            <w:hideMark/>
          </w:tcPr>
          <w:p w14:paraId="3E046241" w14:textId="77777777" w:rsidR="00664099" w:rsidRPr="00664099" w:rsidRDefault="00664099" w:rsidP="00664099">
            <w:pPr>
              <w:rPr>
                <w:rFonts w:cstheme="minorHAnsi"/>
              </w:rPr>
            </w:pPr>
            <w:r w:rsidRPr="00664099">
              <w:rPr>
                <w:rFonts w:cstheme="minorHAnsi"/>
              </w:rPr>
              <w:t>GO:0005576~extracellular region</w:t>
            </w:r>
          </w:p>
        </w:tc>
        <w:tc>
          <w:tcPr>
            <w:tcW w:w="1144" w:type="dxa"/>
            <w:shd w:val="clear" w:color="auto" w:fill="auto"/>
            <w:noWrap/>
            <w:vAlign w:val="bottom"/>
            <w:hideMark/>
          </w:tcPr>
          <w:p w14:paraId="5A960925" w14:textId="77777777" w:rsidR="00664099" w:rsidRPr="00664099" w:rsidRDefault="00664099" w:rsidP="00664099">
            <w:pPr>
              <w:rPr>
                <w:rFonts w:cstheme="minorHAnsi"/>
              </w:rPr>
            </w:pPr>
            <w:r w:rsidRPr="00664099">
              <w:rPr>
                <w:rFonts w:cstheme="minorHAnsi"/>
              </w:rPr>
              <w:t>22.3796</w:t>
            </w:r>
          </w:p>
        </w:tc>
        <w:tc>
          <w:tcPr>
            <w:tcW w:w="908" w:type="dxa"/>
            <w:shd w:val="clear" w:color="auto" w:fill="auto"/>
            <w:noWrap/>
            <w:vAlign w:val="bottom"/>
            <w:hideMark/>
          </w:tcPr>
          <w:p w14:paraId="48E9B6F1" w14:textId="77777777" w:rsidR="00664099" w:rsidRPr="00664099" w:rsidRDefault="00664099" w:rsidP="00664099">
            <w:pPr>
              <w:rPr>
                <w:rFonts w:cstheme="minorHAnsi"/>
              </w:rPr>
            </w:pPr>
            <w:r w:rsidRPr="00664099">
              <w:rPr>
                <w:rFonts w:cstheme="minorHAnsi"/>
              </w:rPr>
              <w:t>6.02E-12</w:t>
            </w:r>
          </w:p>
        </w:tc>
        <w:tc>
          <w:tcPr>
            <w:tcW w:w="1358" w:type="dxa"/>
            <w:shd w:val="clear" w:color="auto" w:fill="auto"/>
            <w:noWrap/>
            <w:vAlign w:val="bottom"/>
            <w:hideMark/>
          </w:tcPr>
          <w:p w14:paraId="472DA4D9" w14:textId="77777777" w:rsidR="00664099" w:rsidRPr="00664099" w:rsidRDefault="00664099" w:rsidP="00664099">
            <w:pPr>
              <w:rPr>
                <w:rFonts w:cstheme="minorHAnsi"/>
              </w:rPr>
            </w:pPr>
            <w:r w:rsidRPr="00664099">
              <w:rPr>
                <w:rFonts w:cstheme="minorHAnsi"/>
              </w:rPr>
              <w:t>2.253825</w:t>
            </w:r>
          </w:p>
        </w:tc>
        <w:tc>
          <w:tcPr>
            <w:tcW w:w="1282" w:type="dxa"/>
            <w:shd w:val="clear" w:color="auto" w:fill="auto"/>
            <w:noWrap/>
            <w:vAlign w:val="bottom"/>
            <w:hideMark/>
          </w:tcPr>
          <w:p w14:paraId="3D1A0361" w14:textId="77777777" w:rsidR="00664099" w:rsidRPr="00664099" w:rsidRDefault="00664099" w:rsidP="00664099">
            <w:pPr>
              <w:rPr>
                <w:rFonts w:cstheme="minorHAnsi"/>
              </w:rPr>
            </w:pPr>
            <w:r w:rsidRPr="00664099">
              <w:rPr>
                <w:rFonts w:cstheme="minorHAnsi"/>
              </w:rPr>
              <w:t>1.91E-09</w:t>
            </w:r>
          </w:p>
        </w:tc>
        <w:tc>
          <w:tcPr>
            <w:tcW w:w="1208" w:type="dxa"/>
            <w:shd w:val="clear" w:color="auto" w:fill="auto"/>
            <w:noWrap/>
            <w:vAlign w:val="bottom"/>
            <w:hideMark/>
          </w:tcPr>
          <w:p w14:paraId="2A008551" w14:textId="77777777" w:rsidR="00664099" w:rsidRPr="00664099" w:rsidRDefault="00664099" w:rsidP="00664099">
            <w:pPr>
              <w:rPr>
                <w:rFonts w:cstheme="minorHAnsi"/>
              </w:rPr>
            </w:pPr>
            <w:r w:rsidRPr="00664099">
              <w:rPr>
                <w:rFonts w:cstheme="minorHAnsi"/>
              </w:rPr>
              <w:t>3.83E-10</w:t>
            </w:r>
          </w:p>
        </w:tc>
        <w:tc>
          <w:tcPr>
            <w:tcW w:w="848" w:type="dxa"/>
            <w:shd w:val="clear" w:color="auto" w:fill="auto"/>
            <w:noWrap/>
            <w:vAlign w:val="bottom"/>
            <w:hideMark/>
          </w:tcPr>
          <w:p w14:paraId="71074F89" w14:textId="77777777" w:rsidR="00664099" w:rsidRPr="00664099" w:rsidRDefault="00664099" w:rsidP="00664099">
            <w:pPr>
              <w:rPr>
                <w:rFonts w:cstheme="minorHAnsi"/>
              </w:rPr>
            </w:pPr>
            <w:r w:rsidRPr="00664099">
              <w:rPr>
                <w:rFonts w:cstheme="minorHAnsi"/>
              </w:rPr>
              <w:t>3.60E-10</w:t>
            </w:r>
          </w:p>
        </w:tc>
      </w:tr>
      <w:tr w:rsidR="00664099" w:rsidRPr="00664099" w14:paraId="2C382F07" w14:textId="77777777" w:rsidTr="00663056">
        <w:trPr>
          <w:trHeight w:val="286"/>
        </w:trPr>
        <w:tc>
          <w:tcPr>
            <w:tcW w:w="2845" w:type="dxa"/>
            <w:shd w:val="clear" w:color="auto" w:fill="auto"/>
            <w:noWrap/>
            <w:vAlign w:val="bottom"/>
            <w:hideMark/>
          </w:tcPr>
          <w:p w14:paraId="04C23C7C" w14:textId="77777777" w:rsidR="00664099" w:rsidRPr="00664099" w:rsidRDefault="00664099" w:rsidP="00664099">
            <w:pPr>
              <w:rPr>
                <w:rFonts w:cstheme="minorHAnsi"/>
              </w:rPr>
            </w:pPr>
            <w:r w:rsidRPr="00664099">
              <w:rPr>
                <w:rFonts w:cstheme="minorHAnsi"/>
              </w:rPr>
              <w:t>KW-1015~Disulfide bond</w:t>
            </w:r>
          </w:p>
        </w:tc>
        <w:tc>
          <w:tcPr>
            <w:tcW w:w="1144" w:type="dxa"/>
            <w:shd w:val="clear" w:color="auto" w:fill="auto"/>
            <w:noWrap/>
            <w:vAlign w:val="bottom"/>
            <w:hideMark/>
          </w:tcPr>
          <w:p w14:paraId="013D4762" w14:textId="77777777" w:rsidR="00664099" w:rsidRPr="00664099" w:rsidRDefault="00664099" w:rsidP="00664099">
            <w:pPr>
              <w:rPr>
                <w:rFonts w:cstheme="minorHAnsi"/>
              </w:rPr>
            </w:pPr>
            <w:r w:rsidRPr="00664099">
              <w:rPr>
                <w:rFonts w:cstheme="minorHAnsi"/>
              </w:rPr>
              <w:t>34.27762</w:t>
            </w:r>
          </w:p>
        </w:tc>
        <w:tc>
          <w:tcPr>
            <w:tcW w:w="908" w:type="dxa"/>
            <w:shd w:val="clear" w:color="auto" w:fill="auto"/>
            <w:noWrap/>
            <w:vAlign w:val="bottom"/>
            <w:hideMark/>
          </w:tcPr>
          <w:p w14:paraId="26E81B92" w14:textId="77777777" w:rsidR="00664099" w:rsidRPr="00664099" w:rsidRDefault="00664099" w:rsidP="00664099">
            <w:pPr>
              <w:rPr>
                <w:rFonts w:cstheme="minorHAnsi"/>
              </w:rPr>
            </w:pPr>
            <w:r w:rsidRPr="00664099">
              <w:rPr>
                <w:rFonts w:cstheme="minorHAnsi"/>
              </w:rPr>
              <w:t>6.22E-11</w:t>
            </w:r>
          </w:p>
        </w:tc>
        <w:tc>
          <w:tcPr>
            <w:tcW w:w="1358" w:type="dxa"/>
            <w:shd w:val="clear" w:color="auto" w:fill="auto"/>
            <w:noWrap/>
            <w:vAlign w:val="bottom"/>
            <w:hideMark/>
          </w:tcPr>
          <w:p w14:paraId="2954D6B8" w14:textId="77777777" w:rsidR="00664099" w:rsidRPr="00664099" w:rsidRDefault="00664099" w:rsidP="00664099">
            <w:pPr>
              <w:rPr>
                <w:rFonts w:cstheme="minorHAnsi"/>
              </w:rPr>
            </w:pPr>
            <w:r w:rsidRPr="00664099">
              <w:rPr>
                <w:rFonts w:cstheme="minorHAnsi"/>
              </w:rPr>
              <w:t>1.694121</w:t>
            </w:r>
          </w:p>
        </w:tc>
        <w:tc>
          <w:tcPr>
            <w:tcW w:w="1282" w:type="dxa"/>
            <w:shd w:val="clear" w:color="auto" w:fill="auto"/>
            <w:noWrap/>
            <w:vAlign w:val="bottom"/>
            <w:hideMark/>
          </w:tcPr>
          <w:p w14:paraId="36BE1541" w14:textId="77777777" w:rsidR="00664099" w:rsidRPr="00664099" w:rsidRDefault="00664099" w:rsidP="00664099">
            <w:pPr>
              <w:rPr>
                <w:rFonts w:cstheme="minorHAnsi"/>
              </w:rPr>
            </w:pPr>
            <w:r w:rsidRPr="00664099">
              <w:rPr>
                <w:rFonts w:cstheme="minorHAnsi"/>
              </w:rPr>
              <w:t>1.74E-09</w:t>
            </w:r>
          </w:p>
        </w:tc>
        <w:tc>
          <w:tcPr>
            <w:tcW w:w="1208" w:type="dxa"/>
            <w:shd w:val="clear" w:color="auto" w:fill="auto"/>
            <w:noWrap/>
            <w:vAlign w:val="bottom"/>
            <w:hideMark/>
          </w:tcPr>
          <w:p w14:paraId="3542323C" w14:textId="77777777" w:rsidR="00664099" w:rsidRPr="00664099" w:rsidRDefault="00664099" w:rsidP="00664099">
            <w:pPr>
              <w:rPr>
                <w:rFonts w:cstheme="minorHAnsi"/>
              </w:rPr>
            </w:pPr>
            <w:r w:rsidRPr="00664099">
              <w:rPr>
                <w:rFonts w:cstheme="minorHAnsi"/>
              </w:rPr>
              <w:t>9.02E-10</w:t>
            </w:r>
          </w:p>
        </w:tc>
        <w:tc>
          <w:tcPr>
            <w:tcW w:w="848" w:type="dxa"/>
            <w:shd w:val="clear" w:color="auto" w:fill="auto"/>
            <w:noWrap/>
            <w:vAlign w:val="bottom"/>
            <w:hideMark/>
          </w:tcPr>
          <w:p w14:paraId="478DF68C" w14:textId="77777777" w:rsidR="00664099" w:rsidRPr="00664099" w:rsidRDefault="00664099" w:rsidP="00664099">
            <w:pPr>
              <w:rPr>
                <w:rFonts w:cstheme="minorHAnsi"/>
              </w:rPr>
            </w:pPr>
            <w:r w:rsidRPr="00664099">
              <w:rPr>
                <w:rFonts w:cstheme="minorHAnsi"/>
              </w:rPr>
              <w:t>7.77E-10</w:t>
            </w:r>
          </w:p>
        </w:tc>
      </w:tr>
    </w:tbl>
    <w:p w14:paraId="606F5270" w14:textId="11D21E90" w:rsidR="006811EF" w:rsidRDefault="006811EF" w:rsidP="009B37FF"/>
    <w:p w14:paraId="44EB22EC" w14:textId="0BA7A2CF" w:rsidR="00CF12EF" w:rsidRDefault="00CF12EF" w:rsidP="009B37FF"/>
    <w:tbl>
      <w:tblPr>
        <w:tblW w:w="7110" w:type="dxa"/>
        <w:tblLook w:val="04A0" w:firstRow="1" w:lastRow="0" w:firstColumn="1" w:lastColumn="0" w:noHBand="0" w:noVBand="1"/>
      </w:tblPr>
      <w:tblGrid>
        <w:gridCol w:w="1370"/>
        <w:gridCol w:w="3834"/>
        <w:gridCol w:w="1318"/>
        <w:gridCol w:w="960"/>
      </w:tblGrid>
      <w:tr w:rsidR="00CF12EF" w:rsidRPr="00CF12EF" w14:paraId="28318F96" w14:textId="77777777" w:rsidTr="00CF12EF">
        <w:trPr>
          <w:trHeight w:val="288"/>
        </w:trPr>
        <w:tc>
          <w:tcPr>
            <w:tcW w:w="1184" w:type="dxa"/>
            <w:tcBorders>
              <w:top w:val="nil"/>
              <w:left w:val="nil"/>
              <w:bottom w:val="nil"/>
              <w:right w:val="nil"/>
            </w:tcBorders>
            <w:shd w:val="clear" w:color="auto" w:fill="auto"/>
            <w:noWrap/>
            <w:vAlign w:val="bottom"/>
            <w:hideMark/>
          </w:tcPr>
          <w:p w14:paraId="6C1E75E6"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PROBEID</w:t>
            </w:r>
          </w:p>
        </w:tc>
        <w:tc>
          <w:tcPr>
            <w:tcW w:w="3834" w:type="dxa"/>
            <w:tcBorders>
              <w:top w:val="nil"/>
              <w:left w:val="nil"/>
              <w:bottom w:val="nil"/>
              <w:right w:val="nil"/>
            </w:tcBorders>
            <w:shd w:val="clear" w:color="auto" w:fill="auto"/>
            <w:noWrap/>
            <w:vAlign w:val="bottom"/>
            <w:hideMark/>
          </w:tcPr>
          <w:p w14:paraId="679DE07A"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GENENAME</w:t>
            </w:r>
          </w:p>
        </w:tc>
        <w:tc>
          <w:tcPr>
            <w:tcW w:w="1132" w:type="dxa"/>
            <w:tcBorders>
              <w:top w:val="nil"/>
              <w:left w:val="nil"/>
              <w:bottom w:val="nil"/>
              <w:right w:val="nil"/>
            </w:tcBorders>
            <w:shd w:val="clear" w:color="auto" w:fill="auto"/>
            <w:noWrap/>
            <w:vAlign w:val="bottom"/>
            <w:hideMark/>
          </w:tcPr>
          <w:p w14:paraId="2EB9A620" w14:textId="77777777" w:rsidR="00CF12EF" w:rsidRPr="00CF12EF" w:rsidRDefault="00CF12EF" w:rsidP="00CF12EF">
            <w:pPr>
              <w:spacing w:after="0" w:line="240" w:lineRule="auto"/>
              <w:rPr>
                <w:rFonts w:ascii="Calibri" w:eastAsia="Times New Roman" w:hAnsi="Calibri" w:cs="Calibri"/>
                <w:color w:val="000000"/>
                <w:lang w:eastAsia="en-CA"/>
              </w:rPr>
            </w:pPr>
            <w:proofErr w:type="spellStart"/>
            <w:r w:rsidRPr="00CF12EF">
              <w:rPr>
                <w:rFonts w:ascii="Calibri" w:eastAsia="Times New Roman" w:hAnsi="Calibri" w:cs="Calibri"/>
                <w:color w:val="000000"/>
                <w:lang w:eastAsia="en-CA"/>
              </w:rPr>
              <w:t>fold_change</w:t>
            </w:r>
            <w:proofErr w:type="spellEnd"/>
          </w:p>
        </w:tc>
        <w:tc>
          <w:tcPr>
            <w:tcW w:w="960" w:type="dxa"/>
            <w:tcBorders>
              <w:top w:val="nil"/>
              <w:left w:val="nil"/>
              <w:bottom w:val="nil"/>
              <w:right w:val="nil"/>
            </w:tcBorders>
            <w:shd w:val="clear" w:color="auto" w:fill="auto"/>
            <w:noWrap/>
            <w:vAlign w:val="bottom"/>
            <w:hideMark/>
          </w:tcPr>
          <w:p w14:paraId="2326F27E" w14:textId="77777777" w:rsidR="00CF12EF" w:rsidRPr="00CF12EF" w:rsidRDefault="00CF12EF" w:rsidP="00CF12EF">
            <w:pPr>
              <w:spacing w:after="0" w:line="240" w:lineRule="auto"/>
              <w:rPr>
                <w:rFonts w:ascii="Calibri" w:eastAsia="Times New Roman" w:hAnsi="Calibri" w:cs="Calibri"/>
                <w:color w:val="000000"/>
                <w:lang w:eastAsia="en-CA"/>
              </w:rPr>
            </w:pPr>
            <w:proofErr w:type="spellStart"/>
            <w:r w:rsidRPr="00CF12EF">
              <w:rPr>
                <w:rFonts w:ascii="Calibri" w:eastAsia="Times New Roman" w:hAnsi="Calibri" w:cs="Calibri"/>
                <w:color w:val="000000"/>
                <w:lang w:eastAsia="en-CA"/>
              </w:rPr>
              <w:t>p_value</w:t>
            </w:r>
            <w:proofErr w:type="spellEnd"/>
          </w:p>
        </w:tc>
      </w:tr>
      <w:tr w:rsidR="00CF12EF" w:rsidRPr="00CF12EF" w14:paraId="5136BCEF" w14:textId="77777777" w:rsidTr="00CF12EF">
        <w:trPr>
          <w:trHeight w:val="288"/>
        </w:trPr>
        <w:tc>
          <w:tcPr>
            <w:tcW w:w="1184" w:type="dxa"/>
            <w:tcBorders>
              <w:top w:val="nil"/>
              <w:left w:val="nil"/>
              <w:bottom w:val="nil"/>
              <w:right w:val="nil"/>
            </w:tcBorders>
            <w:shd w:val="clear" w:color="auto" w:fill="auto"/>
            <w:noWrap/>
            <w:vAlign w:val="bottom"/>
            <w:hideMark/>
          </w:tcPr>
          <w:p w14:paraId="105E2FBB"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212143_s_at</w:t>
            </w:r>
          </w:p>
        </w:tc>
        <w:tc>
          <w:tcPr>
            <w:tcW w:w="3834" w:type="dxa"/>
            <w:tcBorders>
              <w:top w:val="nil"/>
              <w:left w:val="nil"/>
              <w:bottom w:val="nil"/>
              <w:right w:val="nil"/>
            </w:tcBorders>
            <w:shd w:val="clear" w:color="auto" w:fill="auto"/>
            <w:noWrap/>
            <w:vAlign w:val="bottom"/>
            <w:hideMark/>
          </w:tcPr>
          <w:p w14:paraId="0859E24B"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insulin like growth factor binding protein 3</w:t>
            </w:r>
          </w:p>
        </w:tc>
        <w:tc>
          <w:tcPr>
            <w:tcW w:w="1132" w:type="dxa"/>
            <w:tcBorders>
              <w:top w:val="nil"/>
              <w:left w:val="nil"/>
              <w:bottom w:val="nil"/>
              <w:right w:val="nil"/>
            </w:tcBorders>
            <w:shd w:val="clear" w:color="auto" w:fill="auto"/>
            <w:noWrap/>
            <w:vAlign w:val="bottom"/>
            <w:hideMark/>
          </w:tcPr>
          <w:p w14:paraId="7B4B040D"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3.009468</w:t>
            </w:r>
          </w:p>
        </w:tc>
        <w:tc>
          <w:tcPr>
            <w:tcW w:w="960" w:type="dxa"/>
            <w:tcBorders>
              <w:top w:val="nil"/>
              <w:left w:val="nil"/>
              <w:bottom w:val="nil"/>
              <w:right w:val="nil"/>
            </w:tcBorders>
            <w:shd w:val="clear" w:color="auto" w:fill="auto"/>
            <w:noWrap/>
            <w:vAlign w:val="bottom"/>
            <w:hideMark/>
          </w:tcPr>
          <w:p w14:paraId="07E75865"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2.20E-22</w:t>
            </w:r>
          </w:p>
        </w:tc>
      </w:tr>
      <w:tr w:rsidR="00CF12EF" w:rsidRPr="00CF12EF" w14:paraId="4CDA4A55" w14:textId="77777777" w:rsidTr="00CF12EF">
        <w:trPr>
          <w:trHeight w:val="288"/>
        </w:trPr>
        <w:tc>
          <w:tcPr>
            <w:tcW w:w="1184" w:type="dxa"/>
            <w:tcBorders>
              <w:top w:val="nil"/>
              <w:left w:val="nil"/>
              <w:bottom w:val="nil"/>
              <w:right w:val="nil"/>
            </w:tcBorders>
            <w:shd w:val="clear" w:color="auto" w:fill="auto"/>
            <w:noWrap/>
            <w:vAlign w:val="bottom"/>
            <w:hideMark/>
          </w:tcPr>
          <w:p w14:paraId="3BFAF70A"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210095_s_at</w:t>
            </w:r>
          </w:p>
        </w:tc>
        <w:tc>
          <w:tcPr>
            <w:tcW w:w="3834" w:type="dxa"/>
            <w:tcBorders>
              <w:top w:val="nil"/>
              <w:left w:val="nil"/>
              <w:bottom w:val="nil"/>
              <w:right w:val="nil"/>
            </w:tcBorders>
            <w:shd w:val="clear" w:color="auto" w:fill="auto"/>
            <w:noWrap/>
            <w:vAlign w:val="bottom"/>
            <w:hideMark/>
          </w:tcPr>
          <w:p w14:paraId="25E408C9"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insulin like growth factor binding protein 3</w:t>
            </w:r>
          </w:p>
        </w:tc>
        <w:tc>
          <w:tcPr>
            <w:tcW w:w="1132" w:type="dxa"/>
            <w:tcBorders>
              <w:top w:val="nil"/>
              <w:left w:val="nil"/>
              <w:bottom w:val="nil"/>
              <w:right w:val="nil"/>
            </w:tcBorders>
            <w:shd w:val="clear" w:color="auto" w:fill="auto"/>
            <w:noWrap/>
            <w:vAlign w:val="bottom"/>
            <w:hideMark/>
          </w:tcPr>
          <w:p w14:paraId="3831CBCE"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2.813106</w:t>
            </w:r>
          </w:p>
        </w:tc>
        <w:tc>
          <w:tcPr>
            <w:tcW w:w="960" w:type="dxa"/>
            <w:tcBorders>
              <w:top w:val="nil"/>
              <w:left w:val="nil"/>
              <w:bottom w:val="nil"/>
              <w:right w:val="nil"/>
            </w:tcBorders>
            <w:shd w:val="clear" w:color="auto" w:fill="auto"/>
            <w:noWrap/>
            <w:vAlign w:val="bottom"/>
            <w:hideMark/>
          </w:tcPr>
          <w:p w14:paraId="69646DEF"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2.36E-22</w:t>
            </w:r>
          </w:p>
        </w:tc>
      </w:tr>
      <w:tr w:rsidR="00CF12EF" w:rsidRPr="00CF12EF" w14:paraId="7CC667B6" w14:textId="77777777" w:rsidTr="00CF12EF">
        <w:trPr>
          <w:trHeight w:val="288"/>
        </w:trPr>
        <w:tc>
          <w:tcPr>
            <w:tcW w:w="1184" w:type="dxa"/>
            <w:tcBorders>
              <w:top w:val="nil"/>
              <w:left w:val="nil"/>
              <w:bottom w:val="nil"/>
              <w:right w:val="nil"/>
            </w:tcBorders>
            <w:shd w:val="clear" w:color="auto" w:fill="auto"/>
            <w:noWrap/>
            <w:vAlign w:val="bottom"/>
            <w:hideMark/>
          </w:tcPr>
          <w:p w14:paraId="6D6276EB"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205934_at</w:t>
            </w:r>
          </w:p>
        </w:tc>
        <w:tc>
          <w:tcPr>
            <w:tcW w:w="3834" w:type="dxa"/>
            <w:tcBorders>
              <w:top w:val="nil"/>
              <w:left w:val="nil"/>
              <w:bottom w:val="nil"/>
              <w:right w:val="nil"/>
            </w:tcBorders>
            <w:shd w:val="clear" w:color="auto" w:fill="auto"/>
            <w:noWrap/>
            <w:vAlign w:val="bottom"/>
            <w:hideMark/>
          </w:tcPr>
          <w:p w14:paraId="7578FF9E"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phospholipase C like 1 (inactive)</w:t>
            </w:r>
          </w:p>
        </w:tc>
        <w:tc>
          <w:tcPr>
            <w:tcW w:w="1132" w:type="dxa"/>
            <w:tcBorders>
              <w:top w:val="nil"/>
              <w:left w:val="nil"/>
              <w:bottom w:val="nil"/>
              <w:right w:val="nil"/>
            </w:tcBorders>
            <w:shd w:val="clear" w:color="auto" w:fill="auto"/>
            <w:noWrap/>
            <w:vAlign w:val="bottom"/>
            <w:hideMark/>
          </w:tcPr>
          <w:p w14:paraId="3DF3401E"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-2.53817</w:t>
            </w:r>
          </w:p>
        </w:tc>
        <w:tc>
          <w:tcPr>
            <w:tcW w:w="960" w:type="dxa"/>
            <w:tcBorders>
              <w:top w:val="nil"/>
              <w:left w:val="nil"/>
              <w:bottom w:val="nil"/>
              <w:right w:val="nil"/>
            </w:tcBorders>
            <w:shd w:val="clear" w:color="auto" w:fill="auto"/>
            <w:noWrap/>
            <w:vAlign w:val="bottom"/>
            <w:hideMark/>
          </w:tcPr>
          <w:p w14:paraId="37EF9225"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6.26E-21</w:t>
            </w:r>
          </w:p>
        </w:tc>
      </w:tr>
      <w:tr w:rsidR="00CF12EF" w:rsidRPr="00CF12EF" w14:paraId="78ADC54F" w14:textId="77777777" w:rsidTr="00CF12EF">
        <w:trPr>
          <w:trHeight w:val="288"/>
        </w:trPr>
        <w:tc>
          <w:tcPr>
            <w:tcW w:w="1184" w:type="dxa"/>
            <w:tcBorders>
              <w:top w:val="nil"/>
              <w:left w:val="nil"/>
              <w:bottom w:val="nil"/>
              <w:right w:val="nil"/>
            </w:tcBorders>
            <w:shd w:val="clear" w:color="auto" w:fill="auto"/>
            <w:noWrap/>
            <w:vAlign w:val="bottom"/>
            <w:hideMark/>
          </w:tcPr>
          <w:p w14:paraId="62859BE3"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202856_s_at</w:t>
            </w:r>
          </w:p>
        </w:tc>
        <w:tc>
          <w:tcPr>
            <w:tcW w:w="3834" w:type="dxa"/>
            <w:tcBorders>
              <w:top w:val="nil"/>
              <w:left w:val="nil"/>
              <w:bottom w:val="nil"/>
              <w:right w:val="nil"/>
            </w:tcBorders>
            <w:shd w:val="clear" w:color="auto" w:fill="auto"/>
            <w:noWrap/>
            <w:vAlign w:val="bottom"/>
            <w:hideMark/>
          </w:tcPr>
          <w:p w14:paraId="3ABA4D86"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 xml:space="preserve">solute carrier family </w:t>
            </w:r>
            <w:proofErr w:type="gramStart"/>
            <w:r w:rsidRPr="00CF12EF">
              <w:rPr>
                <w:rFonts w:ascii="Calibri" w:eastAsia="Times New Roman" w:hAnsi="Calibri" w:cs="Calibri"/>
                <w:color w:val="000000"/>
                <w:lang w:eastAsia="en-CA"/>
              </w:rPr>
              <w:t>16 member</w:t>
            </w:r>
            <w:proofErr w:type="gramEnd"/>
            <w:r w:rsidRPr="00CF12EF">
              <w:rPr>
                <w:rFonts w:ascii="Calibri" w:eastAsia="Times New Roman" w:hAnsi="Calibri" w:cs="Calibri"/>
                <w:color w:val="000000"/>
                <w:lang w:eastAsia="en-CA"/>
              </w:rPr>
              <w:t xml:space="preserve"> 3</w:t>
            </w:r>
          </w:p>
        </w:tc>
        <w:tc>
          <w:tcPr>
            <w:tcW w:w="1132" w:type="dxa"/>
            <w:tcBorders>
              <w:top w:val="nil"/>
              <w:left w:val="nil"/>
              <w:bottom w:val="nil"/>
              <w:right w:val="nil"/>
            </w:tcBorders>
            <w:shd w:val="clear" w:color="auto" w:fill="auto"/>
            <w:noWrap/>
            <w:vAlign w:val="bottom"/>
            <w:hideMark/>
          </w:tcPr>
          <w:p w14:paraId="183CE367"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3.168849</w:t>
            </w:r>
          </w:p>
        </w:tc>
        <w:tc>
          <w:tcPr>
            <w:tcW w:w="960" w:type="dxa"/>
            <w:tcBorders>
              <w:top w:val="nil"/>
              <w:left w:val="nil"/>
              <w:bottom w:val="nil"/>
              <w:right w:val="nil"/>
            </w:tcBorders>
            <w:shd w:val="clear" w:color="auto" w:fill="auto"/>
            <w:noWrap/>
            <w:vAlign w:val="bottom"/>
            <w:hideMark/>
          </w:tcPr>
          <w:p w14:paraId="72EC9219"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3.65E-20</w:t>
            </w:r>
          </w:p>
        </w:tc>
      </w:tr>
      <w:tr w:rsidR="00CF12EF" w:rsidRPr="00CF12EF" w14:paraId="22110E90" w14:textId="77777777" w:rsidTr="00CF12EF">
        <w:trPr>
          <w:trHeight w:val="288"/>
        </w:trPr>
        <w:tc>
          <w:tcPr>
            <w:tcW w:w="1184" w:type="dxa"/>
            <w:tcBorders>
              <w:top w:val="nil"/>
              <w:left w:val="nil"/>
              <w:bottom w:val="nil"/>
              <w:right w:val="nil"/>
            </w:tcBorders>
            <w:shd w:val="clear" w:color="auto" w:fill="auto"/>
            <w:noWrap/>
            <w:vAlign w:val="bottom"/>
            <w:hideMark/>
          </w:tcPr>
          <w:p w14:paraId="3D776E32"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202856_s_at</w:t>
            </w:r>
          </w:p>
        </w:tc>
        <w:tc>
          <w:tcPr>
            <w:tcW w:w="3834" w:type="dxa"/>
            <w:tcBorders>
              <w:top w:val="nil"/>
              <w:left w:val="nil"/>
              <w:bottom w:val="nil"/>
              <w:right w:val="nil"/>
            </w:tcBorders>
            <w:shd w:val="clear" w:color="auto" w:fill="auto"/>
            <w:noWrap/>
            <w:vAlign w:val="bottom"/>
            <w:hideMark/>
          </w:tcPr>
          <w:p w14:paraId="29CB4FCE"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microRNA 6787</w:t>
            </w:r>
          </w:p>
        </w:tc>
        <w:tc>
          <w:tcPr>
            <w:tcW w:w="1132" w:type="dxa"/>
            <w:tcBorders>
              <w:top w:val="nil"/>
              <w:left w:val="nil"/>
              <w:bottom w:val="nil"/>
              <w:right w:val="nil"/>
            </w:tcBorders>
            <w:shd w:val="clear" w:color="auto" w:fill="auto"/>
            <w:noWrap/>
            <w:vAlign w:val="bottom"/>
            <w:hideMark/>
          </w:tcPr>
          <w:p w14:paraId="77C14AEE"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3.168849</w:t>
            </w:r>
          </w:p>
        </w:tc>
        <w:tc>
          <w:tcPr>
            <w:tcW w:w="960" w:type="dxa"/>
            <w:tcBorders>
              <w:top w:val="nil"/>
              <w:left w:val="nil"/>
              <w:bottom w:val="nil"/>
              <w:right w:val="nil"/>
            </w:tcBorders>
            <w:shd w:val="clear" w:color="auto" w:fill="auto"/>
            <w:noWrap/>
            <w:vAlign w:val="bottom"/>
            <w:hideMark/>
          </w:tcPr>
          <w:p w14:paraId="4D647609"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3.65E-20</w:t>
            </w:r>
          </w:p>
        </w:tc>
      </w:tr>
      <w:tr w:rsidR="00CF12EF" w:rsidRPr="00CF12EF" w14:paraId="0F2C791C" w14:textId="77777777" w:rsidTr="00CF12EF">
        <w:trPr>
          <w:trHeight w:val="288"/>
        </w:trPr>
        <w:tc>
          <w:tcPr>
            <w:tcW w:w="1184" w:type="dxa"/>
            <w:tcBorders>
              <w:top w:val="nil"/>
              <w:left w:val="nil"/>
              <w:bottom w:val="nil"/>
              <w:right w:val="nil"/>
            </w:tcBorders>
            <w:shd w:val="clear" w:color="auto" w:fill="auto"/>
            <w:noWrap/>
            <w:vAlign w:val="bottom"/>
            <w:hideMark/>
          </w:tcPr>
          <w:p w14:paraId="0368753F"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202934_at</w:t>
            </w:r>
          </w:p>
        </w:tc>
        <w:tc>
          <w:tcPr>
            <w:tcW w:w="3834" w:type="dxa"/>
            <w:tcBorders>
              <w:top w:val="nil"/>
              <w:left w:val="nil"/>
              <w:bottom w:val="nil"/>
              <w:right w:val="nil"/>
            </w:tcBorders>
            <w:shd w:val="clear" w:color="auto" w:fill="auto"/>
            <w:noWrap/>
            <w:vAlign w:val="bottom"/>
            <w:hideMark/>
          </w:tcPr>
          <w:p w14:paraId="59669793"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hexokinase 2</w:t>
            </w:r>
          </w:p>
        </w:tc>
        <w:tc>
          <w:tcPr>
            <w:tcW w:w="1132" w:type="dxa"/>
            <w:tcBorders>
              <w:top w:val="nil"/>
              <w:left w:val="nil"/>
              <w:bottom w:val="nil"/>
              <w:right w:val="nil"/>
            </w:tcBorders>
            <w:shd w:val="clear" w:color="auto" w:fill="auto"/>
            <w:noWrap/>
            <w:vAlign w:val="bottom"/>
            <w:hideMark/>
          </w:tcPr>
          <w:p w14:paraId="4FD1CA41"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3.056619</w:t>
            </w:r>
          </w:p>
        </w:tc>
        <w:tc>
          <w:tcPr>
            <w:tcW w:w="960" w:type="dxa"/>
            <w:tcBorders>
              <w:top w:val="nil"/>
              <w:left w:val="nil"/>
              <w:bottom w:val="nil"/>
              <w:right w:val="nil"/>
            </w:tcBorders>
            <w:shd w:val="clear" w:color="auto" w:fill="auto"/>
            <w:noWrap/>
            <w:vAlign w:val="bottom"/>
            <w:hideMark/>
          </w:tcPr>
          <w:p w14:paraId="3E48F003"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4.86E-20</w:t>
            </w:r>
          </w:p>
        </w:tc>
      </w:tr>
      <w:tr w:rsidR="00CF12EF" w:rsidRPr="00CF12EF" w14:paraId="00B1F0FD" w14:textId="77777777" w:rsidTr="00CF12EF">
        <w:trPr>
          <w:trHeight w:val="288"/>
        </w:trPr>
        <w:tc>
          <w:tcPr>
            <w:tcW w:w="1184" w:type="dxa"/>
            <w:tcBorders>
              <w:top w:val="nil"/>
              <w:left w:val="nil"/>
              <w:bottom w:val="nil"/>
              <w:right w:val="nil"/>
            </w:tcBorders>
            <w:shd w:val="clear" w:color="auto" w:fill="auto"/>
            <w:noWrap/>
            <w:vAlign w:val="bottom"/>
            <w:hideMark/>
          </w:tcPr>
          <w:p w14:paraId="382EEEBB"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226452_at</w:t>
            </w:r>
          </w:p>
        </w:tc>
        <w:tc>
          <w:tcPr>
            <w:tcW w:w="3834" w:type="dxa"/>
            <w:tcBorders>
              <w:top w:val="nil"/>
              <w:left w:val="nil"/>
              <w:bottom w:val="nil"/>
              <w:right w:val="nil"/>
            </w:tcBorders>
            <w:shd w:val="clear" w:color="auto" w:fill="auto"/>
            <w:noWrap/>
            <w:vAlign w:val="bottom"/>
            <w:hideMark/>
          </w:tcPr>
          <w:p w14:paraId="7B894150"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pyruvate dehydrogenase kinase 1</w:t>
            </w:r>
          </w:p>
        </w:tc>
        <w:tc>
          <w:tcPr>
            <w:tcW w:w="1132" w:type="dxa"/>
            <w:tcBorders>
              <w:top w:val="nil"/>
              <w:left w:val="nil"/>
              <w:bottom w:val="nil"/>
              <w:right w:val="nil"/>
            </w:tcBorders>
            <w:shd w:val="clear" w:color="auto" w:fill="auto"/>
            <w:noWrap/>
            <w:vAlign w:val="bottom"/>
            <w:hideMark/>
          </w:tcPr>
          <w:p w14:paraId="5B9BA1E8"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2.406077</w:t>
            </w:r>
          </w:p>
        </w:tc>
        <w:tc>
          <w:tcPr>
            <w:tcW w:w="960" w:type="dxa"/>
            <w:tcBorders>
              <w:top w:val="nil"/>
              <w:left w:val="nil"/>
              <w:bottom w:val="nil"/>
              <w:right w:val="nil"/>
            </w:tcBorders>
            <w:shd w:val="clear" w:color="auto" w:fill="auto"/>
            <w:noWrap/>
            <w:vAlign w:val="bottom"/>
            <w:hideMark/>
          </w:tcPr>
          <w:p w14:paraId="7C9F2741"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6.45E-20</w:t>
            </w:r>
          </w:p>
        </w:tc>
      </w:tr>
      <w:tr w:rsidR="00CF12EF" w:rsidRPr="00CF12EF" w14:paraId="33BD8062" w14:textId="77777777" w:rsidTr="00CF12EF">
        <w:trPr>
          <w:trHeight w:val="288"/>
        </w:trPr>
        <w:tc>
          <w:tcPr>
            <w:tcW w:w="1184" w:type="dxa"/>
            <w:tcBorders>
              <w:top w:val="nil"/>
              <w:left w:val="nil"/>
              <w:bottom w:val="nil"/>
              <w:right w:val="nil"/>
            </w:tcBorders>
            <w:shd w:val="clear" w:color="auto" w:fill="auto"/>
            <w:noWrap/>
            <w:vAlign w:val="bottom"/>
            <w:hideMark/>
          </w:tcPr>
          <w:p w14:paraId="4576BD80"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223333_s_at</w:t>
            </w:r>
          </w:p>
        </w:tc>
        <w:tc>
          <w:tcPr>
            <w:tcW w:w="3834" w:type="dxa"/>
            <w:tcBorders>
              <w:top w:val="nil"/>
              <w:left w:val="nil"/>
              <w:bottom w:val="nil"/>
              <w:right w:val="nil"/>
            </w:tcBorders>
            <w:shd w:val="clear" w:color="auto" w:fill="auto"/>
            <w:noWrap/>
            <w:vAlign w:val="bottom"/>
            <w:hideMark/>
          </w:tcPr>
          <w:p w14:paraId="7750BC0D"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angiopoietin like 4</w:t>
            </w:r>
          </w:p>
        </w:tc>
        <w:tc>
          <w:tcPr>
            <w:tcW w:w="1132" w:type="dxa"/>
            <w:tcBorders>
              <w:top w:val="nil"/>
              <w:left w:val="nil"/>
              <w:bottom w:val="nil"/>
              <w:right w:val="nil"/>
            </w:tcBorders>
            <w:shd w:val="clear" w:color="auto" w:fill="auto"/>
            <w:noWrap/>
            <w:vAlign w:val="bottom"/>
            <w:hideMark/>
          </w:tcPr>
          <w:p w14:paraId="6F4B413F"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3.375204</w:t>
            </w:r>
          </w:p>
        </w:tc>
        <w:tc>
          <w:tcPr>
            <w:tcW w:w="960" w:type="dxa"/>
            <w:tcBorders>
              <w:top w:val="nil"/>
              <w:left w:val="nil"/>
              <w:bottom w:val="nil"/>
              <w:right w:val="nil"/>
            </w:tcBorders>
            <w:shd w:val="clear" w:color="auto" w:fill="auto"/>
            <w:noWrap/>
            <w:vAlign w:val="bottom"/>
            <w:hideMark/>
          </w:tcPr>
          <w:p w14:paraId="3512F7E9"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6.45E-20</w:t>
            </w:r>
          </w:p>
        </w:tc>
      </w:tr>
      <w:tr w:rsidR="00CF12EF" w:rsidRPr="00CF12EF" w14:paraId="747D2DC0" w14:textId="77777777" w:rsidTr="00CF12EF">
        <w:trPr>
          <w:trHeight w:val="288"/>
        </w:trPr>
        <w:tc>
          <w:tcPr>
            <w:tcW w:w="1184" w:type="dxa"/>
            <w:tcBorders>
              <w:top w:val="nil"/>
              <w:left w:val="nil"/>
              <w:bottom w:val="nil"/>
              <w:right w:val="nil"/>
            </w:tcBorders>
            <w:shd w:val="clear" w:color="auto" w:fill="auto"/>
            <w:noWrap/>
            <w:vAlign w:val="bottom"/>
            <w:hideMark/>
          </w:tcPr>
          <w:p w14:paraId="07F3082C"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201037_at</w:t>
            </w:r>
          </w:p>
        </w:tc>
        <w:tc>
          <w:tcPr>
            <w:tcW w:w="3834" w:type="dxa"/>
            <w:tcBorders>
              <w:top w:val="nil"/>
              <w:left w:val="nil"/>
              <w:bottom w:val="nil"/>
              <w:right w:val="nil"/>
            </w:tcBorders>
            <w:shd w:val="clear" w:color="auto" w:fill="auto"/>
            <w:noWrap/>
            <w:vAlign w:val="bottom"/>
            <w:hideMark/>
          </w:tcPr>
          <w:p w14:paraId="118D27ED"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phosphofructokinase, platelet</w:t>
            </w:r>
          </w:p>
        </w:tc>
        <w:tc>
          <w:tcPr>
            <w:tcW w:w="1132" w:type="dxa"/>
            <w:tcBorders>
              <w:top w:val="nil"/>
              <w:left w:val="nil"/>
              <w:bottom w:val="nil"/>
              <w:right w:val="nil"/>
            </w:tcBorders>
            <w:shd w:val="clear" w:color="auto" w:fill="auto"/>
            <w:noWrap/>
            <w:vAlign w:val="bottom"/>
            <w:hideMark/>
          </w:tcPr>
          <w:p w14:paraId="6F415B74"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2.188341</w:t>
            </w:r>
          </w:p>
        </w:tc>
        <w:tc>
          <w:tcPr>
            <w:tcW w:w="960" w:type="dxa"/>
            <w:tcBorders>
              <w:top w:val="nil"/>
              <w:left w:val="nil"/>
              <w:bottom w:val="nil"/>
              <w:right w:val="nil"/>
            </w:tcBorders>
            <w:shd w:val="clear" w:color="auto" w:fill="auto"/>
            <w:noWrap/>
            <w:vAlign w:val="bottom"/>
            <w:hideMark/>
          </w:tcPr>
          <w:p w14:paraId="395E5F5C"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9.44E-20</w:t>
            </w:r>
          </w:p>
        </w:tc>
      </w:tr>
      <w:tr w:rsidR="00CF12EF" w:rsidRPr="00CF12EF" w14:paraId="721F9444" w14:textId="77777777" w:rsidTr="00CF12EF">
        <w:trPr>
          <w:trHeight w:val="288"/>
        </w:trPr>
        <w:tc>
          <w:tcPr>
            <w:tcW w:w="1184" w:type="dxa"/>
            <w:tcBorders>
              <w:top w:val="nil"/>
              <w:left w:val="nil"/>
              <w:bottom w:val="nil"/>
              <w:right w:val="nil"/>
            </w:tcBorders>
            <w:shd w:val="clear" w:color="auto" w:fill="auto"/>
            <w:noWrap/>
            <w:vAlign w:val="bottom"/>
            <w:hideMark/>
          </w:tcPr>
          <w:p w14:paraId="01511D15" w14:textId="77777777" w:rsidR="00CF12EF" w:rsidRPr="00CF12EF" w:rsidRDefault="00CF12EF" w:rsidP="00CF12EF">
            <w:pPr>
              <w:spacing w:after="0" w:line="240" w:lineRule="auto"/>
              <w:rPr>
                <w:rFonts w:ascii="Calibri" w:eastAsia="Times New Roman" w:hAnsi="Calibri" w:cs="Calibri"/>
                <w:color w:val="000000"/>
                <w:lang w:eastAsia="en-CA"/>
              </w:rPr>
            </w:pPr>
            <w:r w:rsidRPr="00CF12EF">
              <w:rPr>
                <w:rFonts w:ascii="Calibri" w:eastAsia="Times New Roman" w:hAnsi="Calibri" w:cs="Calibri"/>
                <w:color w:val="000000"/>
                <w:lang w:eastAsia="en-CA"/>
              </w:rPr>
              <w:t>222774_s_at</w:t>
            </w:r>
          </w:p>
        </w:tc>
        <w:tc>
          <w:tcPr>
            <w:tcW w:w="3834" w:type="dxa"/>
            <w:tcBorders>
              <w:top w:val="nil"/>
              <w:left w:val="nil"/>
              <w:bottom w:val="nil"/>
              <w:right w:val="nil"/>
            </w:tcBorders>
            <w:shd w:val="clear" w:color="auto" w:fill="auto"/>
            <w:noWrap/>
            <w:vAlign w:val="bottom"/>
            <w:hideMark/>
          </w:tcPr>
          <w:p w14:paraId="1FD56BB3" w14:textId="77777777" w:rsidR="00CF12EF" w:rsidRPr="00CF12EF" w:rsidRDefault="00CF12EF" w:rsidP="00CF12EF">
            <w:pPr>
              <w:spacing w:after="0" w:line="240" w:lineRule="auto"/>
              <w:rPr>
                <w:rFonts w:ascii="Calibri" w:eastAsia="Times New Roman" w:hAnsi="Calibri" w:cs="Calibri"/>
                <w:color w:val="000000"/>
                <w:lang w:eastAsia="en-CA"/>
              </w:rPr>
            </w:pPr>
            <w:proofErr w:type="spellStart"/>
            <w:r w:rsidRPr="00CF12EF">
              <w:rPr>
                <w:rFonts w:ascii="Calibri" w:eastAsia="Times New Roman" w:hAnsi="Calibri" w:cs="Calibri"/>
                <w:color w:val="000000"/>
                <w:lang w:eastAsia="en-CA"/>
              </w:rPr>
              <w:t>neuropilin</w:t>
            </w:r>
            <w:proofErr w:type="spellEnd"/>
            <w:r w:rsidRPr="00CF12EF">
              <w:rPr>
                <w:rFonts w:ascii="Calibri" w:eastAsia="Times New Roman" w:hAnsi="Calibri" w:cs="Calibri"/>
                <w:color w:val="000000"/>
                <w:lang w:eastAsia="en-CA"/>
              </w:rPr>
              <w:t xml:space="preserve"> and </w:t>
            </w:r>
            <w:proofErr w:type="spellStart"/>
            <w:r w:rsidRPr="00CF12EF">
              <w:rPr>
                <w:rFonts w:ascii="Calibri" w:eastAsia="Times New Roman" w:hAnsi="Calibri" w:cs="Calibri"/>
                <w:color w:val="000000"/>
                <w:lang w:eastAsia="en-CA"/>
              </w:rPr>
              <w:t>tolloid</w:t>
            </w:r>
            <w:proofErr w:type="spellEnd"/>
            <w:r w:rsidRPr="00CF12EF">
              <w:rPr>
                <w:rFonts w:ascii="Calibri" w:eastAsia="Times New Roman" w:hAnsi="Calibri" w:cs="Calibri"/>
                <w:color w:val="000000"/>
                <w:lang w:eastAsia="en-CA"/>
              </w:rPr>
              <w:t xml:space="preserve"> like 2</w:t>
            </w:r>
          </w:p>
        </w:tc>
        <w:tc>
          <w:tcPr>
            <w:tcW w:w="1132" w:type="dxa"/>
            <w:tcBorders>
              <w:top w:val="nil"/>
              <w:left w:val="nil"/>
              <w:bottom w:val="nil"/>
              <w:right w:val="nil"/>
            </w:tcBorders>
            <w:shd w:val="clear" w:color="auto" w:fill="auto"/>
            <w:noWrap/>
            <w:vAlign w:val="bottom"/>
            <w:hideMark/>
          </w:tcPr>
          <w:p w14:paraId="599166ED"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2.826774</w:t>
            </w:r>
          </w:p>
        </w:tc>
        <w:tc>
          <w:tcPr>
            <w:tcW w:w="960" w:type="dxa"/>
            <w:tcBorders>
              <w:top w:val="nil"/>
              <w:left w:val="nil"/>
              <w:bottom w:val="nil"/>
              <w:right w:val="nil"/>
            </w:tcBorders>
            <w:shd w:val="clear" w:color="auto" w:fill="auto"/>
            <w:noWrap/>
            <w:vAlign w:val="bottom"/>
            <w:hideMark/>
          </w:tcPr>
          <w:p w14:paraId="3A268095" w14:textId="77777777" w:rsidR="00CF12EF" w:rsidRPr="00CF12EF" w:rsidRDefault="00CF12EF" w:rsidP="00CF12EF">
            <w:pPr>
              <w:spacing w:after="0" w:line="240" w:lineRule="auto"/>
              <w:jc w:val="right"/>
              <w:rPr>
                <w:rFonts w:ascii="Calibri" w:eastAsia="Times New Roman" w:hAnsi="Calibri" w:cs="Calibri"/>
                <w:color w:val="000000"/>
                <w:lang w:eastAsia="en-CA"/>
              </w:rPr>
            </w:pPr>
            <w:r w:rsidRPr="00CF12EF">
              <w:rPr>
                <w:rFonts w:ascii="Calibri" w:eastAsia="Times New Roman" w:hAnsi="Calibri" w:cs="Calibri"/>
                <w:color w:val="000000"/>
                <w:lang w:eastAsia="en-CA"/>
              </w:rPr>
              <w:t>1.93E-19</w:t>
            </w:r>
          </w:p>
        </w:tc>
      </w:tr>
    </w:tbl>
    <w:p w14:paraId="391DA854" w14:textId="77777777" w:rsidR="00CF12EF" w:rsidRDefault="00CF12EF" w:rsidP="009B37FF"/>
    <w:sectPr w:rsidR="00CF1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6FA2"/>
    <w:multiLevelType w:val="hybridMultilevel"/>
    <w:tmpl w:val="F3B89B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77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19"/>
    <w:rsid w:val="001117C4"/>
    <w:rsid w:val="001C3CE7"/>
    <w:rsid w:val="002B64B8"/>
    <w:rsid w:val="00424BFC"/>
    <w:rsid w:val="00437D99"/>
    <w:rsid w:val="00663056"/>
    <w:rsid w:val="00664099"/>
    <w:rsid w:val="006811EF"/>
    <w:rsid w:val="00831FEA"/>
    <w:rsid w:val="008A3A6F"/>
    <w:rsid w:val="00952EB5"/>
    <w:rsid w:val="009B13D8"/>
    <w:rsid w:val="009B37FF"/>
    <w:rsid w:val="00A172B4"/>
    <w:rsid w:val="00A46948"/>
    <w:rsid w:val="00B81D1F"/>
    <w:rsid w:val="00C1705E"/>
    <w:rsid w:val="00C859D6"/>
    <w:rsid w:val="00CF12EF"/>
    <w:rsid w:val="00DB1BDF"/>
    <w:rsid w:val="00DC13EE"/>
    <w:rsid w:val="00E94019"/>
    <w:rsid w:val="00EB421C"/>
    <w:rsid w:val="00F56A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5AE4"/>
  <w15:chartTrackingRefBased/>
  <w15:docId w15:val="{190D8F6E-5E3A-419C-8EF8-C93AD8BB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19"/>
    <w:pPr>
      <w:ind w:left="720"/>
      <w:contextualSpacing/>
    </w:pPr>
  </w:style>
  <w:style w:type="character" w:styleId="Hyperlink">
    <w:name w:val="Hyperlink"/>
    <w:basedOn w:val="DefaultParagraphFont"/>
    <w:uiPriority w:val="99"/>
    <w:unhideWhenUsed/>
    <w:rsid w:val="002B64B8"/>
    <w:rPr>
      <w:color w:val="0563C1" w:themeColor="hyperlink"/>
      <w:u w:val="single"/>
    </w:rPr>
  </w:style>
  <w:style w:type="character" w:styleId="UnresolvedMention">
    <w:name w:val="Unresolved Mention"/>
    <w:basedOn w:val="DefaultParagraphFont"/>
    <w:uiPriority w:val="99"/>
    <w:semiHidden/>
    <w:unhideWhenUsed/>
    <w:rsid w:val="002B6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117">
      <w:bodyDiv w:val="1"/>
      <w:marLeft w:val="0"/>
      <w:marRight w:val="0"/>
      <w:marTop w:val="0"/>
      <w:marBottom w:val="0"/>
      <w:divBdr>
        <w:top w:val="none" w:sz="0" w:space="0" w:color="auto"/>
        <w:left w:val="none" w:sz="0" w:space="0" w:color="auto"/>
        <w:bottom w:val="none" w:sz="0" w:space="0" w:color="auto"/>
        <w:right w:val="none" w:sz="0" w:space="0" w:color="auto"/>
      </w:divBdr>
    </w:div>
    <w:div w:id="900287418">
      <w:bodyDiv w:val="1"/>
      <w:marLeft w:val="0"/>
      <w:marRight w:val="0"/>
      <w:marTop w:val="0"/>
      <w:marBottom w:val="0"/>
      <w:divBdr>
        <w:top w:val="none" w:sz="0" w:space="0" w:color="auto"/>
        <w:left w:val="none" w:sz="0" w:space="0" w:color="auto"/>
        <w:bottom w:val="none" w:sz="0" w:space="0" w:color="auto"/>
        <w:right w:val="none" w:sz="0" w:space="0" w:color="auto"/>
      </w:divBdr>
    </w:div>
    <w:div w:id="1526364626">
      <w:bodyDiv w:val="1"/>
      <w:marLeft w:val="0"/>
      <w:marRight w:val="0"/>
      <w:marTop w:val="0"/>
      <w:marBottom w:val="0"/>
      <w:divBdr>
        <w:top w:val="none" w:sz="0" w:space="0" w:color="auto"/>
        <w:left w:val="none" w:sz="0" w:space="0" w:color="auto"/>
        <w:bottom w:val="none" w:sz="0" w:space="0" w:color="auto"/>
        <w:right w:val="none" w:sz="0" w:space="0" w:color="auto"/>
      </w:divBdr>
    </w:div>
    <w:div w:id="16380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cbi.nlm.nih.gov/pmc/articles/PMC74618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 Vale Hamilton</dc:creator>
  <cp:keywords/>
  <dc:description/>
  <cp:lastModifiedBy>Rayna Vale Hamilton</cp:lastModifiedBy>
  <cp:revision>2</cp:revision>
  <dcterms:created xsi:type="dcterms:W3CDTF">2022-05-12T19:48:00Z</dcterms:created>
  <dcterms:modified xsi:type="dcterms:W3CDTF">2022-05-12T19:48:00Z</dcterms:modified>
</cp:coreProperties>
</file>