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60"/>
      </w:pPr>
      <w:r>
        <w:rPr>
          <w:rFonts w:ascii="Calibri" w:hAnsi="Calibri"/>
          <w:b/>
          <w:color w:val="2E74B5"/>
          <w:sz w:val="20"/>
        </w:rPr>
        <w:t>PROPUESTA DE CAPÍTULO REGLAMENTARIO</w:t>
      </w:r>
    </w:p>
    <w:p>
      <w:pPr>
        <w:spacing w:before="0" w:after="100"/>
      </w:pPr>
      <w:r>
        <w:rPr>
          <w:rFonts w:ascii="Calibri" w:hAnsi="Calibri"/>
          <w:b/>
          <w:color w:val="000000"/>
          <w:sz w:val="46"/>
        </w:rPr>
        <w:t>PROHIBICIONES Y CONSECUENCIAS PARA USUARIOS EXTERNOS</w:t>
      </w:r>
    </w:p>
    <w:p>
      <w:pPr>
        <w:spacing w:after="240"/>
      </w:pPr>
      <w:r>
        <w:rPr>
          <w:rFonts w:ascii="Calibri" w:hAnsi="Calibri"/>
          <w:color w:val="5B6573"/>
          <w:sz w:val="26"/>
        </w:rPr>
        <w:t>Reglamento de Uso del Sistema Certificador del INSO</w:t>
      </w:r>
    </w:p>
    <w:p>
      <w:pPr>
        <w:spacing w:after="280"/>
      </w:pPr>
      <w:r>
        <w:rPr>
          <w:rFonts w:ascii="Calibri" w:hAnsi="Calibri"/>
          <w:b/>
          <w:color w:val="5B6573"/>
          <w:sz w:val="20"/>
        </w:rPr>
        <w:t xml:space="preserve">Estado: </w:t>
      </w:r>
      <w:r>
        <w:rPr>
          <w:rFonts w:ascii="Calibri" w:hAnsi="Calibri"/>
          <w:color w:val="5B6573"/>
          <w:sz w:val="20"/>
        </w:rPr>
        <w:t>Texto propuesto para revisión y aprobación institucional</w:t>
      </w:r>
    </w:p>
    <w:p>
      <w:pPr>
        <w:spacing w:before="100" w:after="180" w:line="264" w:lineRule="auto"/>
        <w:ind w:left="115" w:right="115"/>
        <w:shd w:fill="E8EEF5"/>
        <w:pBdr>
          <w:left w:val="single" w:sz="18" w:space="8" w:color="1F4D78"/>
        </w:pBdr>
      </w:pPr>
      <w:r>
        <w:rPr>
          <w:rFonts w:ascii="Calibri" w:hAnsi="Calibri"/>
          <w:b/>
          <w:color w:val="1F4D78"/>
          <w:sz w:val="22"/>
        </w:rPr>
        <w:t xml:space="preserve">Criterio verificado: </w:t>
      </w:r>
      <w:r>
        <w:rPr>
          <w:rFonts w:ascii="Calibri" w:hAnsi="Calibri"/>
          <w:color w:val="1F2937"/>
          <w:sz w:val="22"/>
        </w:rPr>
        <w:t>La VUCE sí alcanza a personas naturales y jurídicas externas. Les exige presentar información correcta y asumir responsabilidad por su veracidad. No obstante, la VUCE no fija por sí misma penas concretas para cada incumplimiento: remite a las disposiciones legales vigentes.</w:t>
      </w:r>
    </w:p>
    <w:p>
      <w:pPr>
        <w:pStyle w:val="Heading1"/>
      </w:pPr>
      <w:r>
        <w:t>CAPÍTULO: USO INDEBIDO POR USUARIOS EXTERNOS</w:t>
      </w:r>
    </w:p>
    <w:p>
      <w:pPr>
        <w:keepNext/>
        <w:spacing w:before="220" w:after="100"/>
      </w:pPr>
      <w:r>
        <w:rPr>
          <w:rFonts w:ascii="Calibri" w:hAnsi="Calibri"/>
          <w:b/>
          <w:color w:val="1F4D78"/>
          <w:sz w:val="22"/>
        </w:rPr>
        <w:t>Artículo 1. (Ámbito de aplicación).</w:t>
      </w:r>
      <w:r>
        <w:rPr>
          <w:rFonts w:ascii="Calibri" w:hAnsi="Calibri"/>
          <w:color w:val="1F2937"/>
          <w:sz w:val="22"/>
        </w:rPr>
        <w:t xml:space="preserve"> El presente capítulo se aplica a solicitantes, representantes de empresas, tramitadores y demás personas externas que cuenten con acceso autorizado al Sistema Certificador.</w:t>
      </w:r>
    </w:p>
    <w:p>
      <w:pPr>
        <w:keepNext/>
        <w:spacing w:before="220" w:after="100"/>
      </w:pPr>
      <w:r>
        <w:rPr>
          <w:rFonts w:ascii="Calibri" w:hAnsi="Calibri"/>
          <w:b/>
          <w:color w:val="1F4D78"/>
          <w:sz w:val="22"/>
        </w:rPr>
        <w:t>Artículo 2. (Responsabilidades del usuario externo).</w:t>
      </w:r>
      <w:r>
        <w:rPr>
          <w:rFonts w:ascii="Calibri" w:hAnsi="Calibri"/>
          <w:color w:val="1F2937"/>
          <w:sz w:val="22"/>
        </w:rPr>
        <w:t xml:space="preserve"> El usuario externo debe:</w:t>
      </w:r>
    </w:p>
    <w:p>
      <w:pPr>
        <w:spacing w:after="10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Utilizar únicamente su propia cuenta y mantener sus credenciales bajo reserva.</w:t>
      </w:r>
    </w:p>
    <w:p>
      <w:pPr>
        <w:spacing w:after="10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Presentar información y documentos completos, correctos, exactos, legibles y vigentes.</w:t>
      </w:r>
    </w:p>
    <w:p>
      <w:pPr>
        <w:spacing w:after="10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Responder por la veracidad de la información y documentación incorporadas al trámite.</w:t>
      </w:r>
    </w:p>
    <w:p>
      <w:pPr>
        <w:spacing w:after="10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Actuar únicamente por cuenta propia o de la empresa que le hubiera otorgado autorización vigente.</w:t>
      </w:r>
    </w:p>
    <w:p>
      <w:pPr>
        <w:spacing w:after="10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Guardar confidencialidad respecto de la información a la que acceda mediante el sistema.</w:t>
      </w:r>
    </w:p>
    <w:p>
      <w:pPr>
        <w:keepNext/>
        <w:spacing w:before="220" w:after="100"/>
      </w:pPr>
      <w:r>
        <w:rPr>
          <w:rFonts w:ascii="Calibri" w:hAnsi="Calibri"/>
          <w:b/>
          <w:color w:val="1F4D78"/>
          <w:sz w:val="22"/>
        </w:rPr>
        <w:t>Artículo 3. (Prohibiciones).</w:t>
      </w:r>
      <w:r>
        <w:rPr>
          <w:rFonts w:ascii="Calibri" w:hAnsi="Calibri"/>
          <w:color w:val="1F2937"/>
          <w:sz w:val="22"/>
        </w:rPr>
        <w:t xml:space="preserve"> Queda prohibido al usuario externo:</w:t>
      </w:r>
    </w:p>
    <w:p>
      <w:pPr>
        <w:spacing w:after="10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Compartir credenciales, permitir el uso de su cuenta o utilizar la identidad o cuenta de otra persona.</w:t>
      </w:r>
    </w:p>
    <w:p>
      <w:pPr>
        <w:spacing w:after="10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Registrar información falsa o presentar documentos falsos, alterados, sustituidos o que no correspondan al trámite.</w:t>
      </w:r>
    </w:p>
    <w:p>
      <w:pPr>
        <w:spacing w:after="10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Acceder o intentar acceder a cuentas, módulos, trámites, documentos o información para los cuales no tenga autorización.</w:t>
      </w:r>
    </w:p>
    <w:p>
      <w:pPr>
        <w:spacing w:after="10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Modificar, suprimir, ocultar o inutilizar datos, documentos, antecedentes o registros del sistema.</w:t>
      </w:r>
    </w:p>
    <w:p>
      <w:pPr>
        <w:spacing w:after="10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Iniciar o gestionar trámites en nombre de una persona o empresa sin autorización vigente.</w:t>
      </w:r>
    </w:p>
    <w:p>
      <w:pPr>
        <w:spacing w:after="10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Copiar, descargar, utilizar o divulgar información de terceros para fines distintos al trámite autorizado.</w:t>
      </w:r>
    </w:p>
    <w:p>
      <w:pPr>
        <w:spacing w:after="10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Manipular pagos, requisitos, estados del trámite o certificados; eludir controles de seguridad; introducir archivos dañinos; o ejecutar acciones destinadas a alterar o interrumpir el funcionamiento del sistema.</w:t>
      </w:r>
    </w:p>
    <w:p>
      <w:pPr>
        <w:keepNext/>
        <w:spacing w:before="220" w:after="100"/>
      </w:pPr>
      <w:r>
        <w:rPr>
          <w:rFonts w:ascii="Calibri" w:hAnsi="Calibri"/>
          <w:b/>
          <w:color w:val="1F4D78"/>
          <w:sz w:val="22"/>
        </w:rPr>
        <w:t>Artículo 4. (Medidas de seguridad y consecuencias).</w:t>
      </w:r>
    </w:p>
    <w:p>
      <w:pPr>
        <w:spacing w:after="120" w:line="264" w:lineRule="auto"/>
      </w:pPr>
      <w:r>
        <w:rPr>
          <w:rFonts w:ascii="Calibri" w:hAnsi="Calibri"/>
          <w:color w:val="1F2937"/>
          <w:sz w:val="22"/>
        </w:rPr>
        <w:t>I. Cuando existan indicios razonables de uso indebido, la unidad competente podrá cerrar sesiones, bloquear preventivamente la cuenta o los permisos afectados, resguardar los registros y revisar las operaciones relacionadas. Estas actuaciones son medidas temporales de seguridad y no constituyen una declaración de culpabilidad.</w:t>
      </w:r>
    </w:p>
    <w:p>
      <w:pPr>
        <w:spacing w:after="120" w:line="264" w:lineRule="auto"/>
      </w:pPr>
      <w:r>
        <w:rPr>
          <w:rFonts w:ascii="Calibri" w:hAnsi="Calibri"/>
          <w:color w:val="1F2937"/>
          <w:sz w:val="22"/>
        </w:rPr>
        <w:t>II. Comprobado el incumplimiento, mediante el procedimiento aplicable, podrán disponerse:</w:t>
      </w:r>
    </w:p>
    <w:p>
      <w:pPr>
        <w:spacing w:after="10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Amonestación escrita.</w:t>
      </w:r>
    </w:p>
    <w:p>
      <w:pPr>
        <w:spacing w:after="10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Suspensión o desactivación de la cuenta o de los permisos de acceso.</w:t>
      </w:r>
    </w:p>
    <w:p>
      <w:pPr>
        <w:spacing w:after="10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Baja de la autorización como tramitador, cuando corresponda.</w:t>
      </w:r>
    </w:p>
    <w:p>
      <w:pPr>
        <w:spacing w:after="10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Remisión de antecedentes a la autoridad competente cuando existan indicios de responsabilidad civil, administrativa o penal.</w:t>
      </w:r>
    </w:p>
    <w:p>
      <w:pPr>
        <w:spacing w:after="120" w:line="264" w:lineRule="auto"/>
      </w:pPr>
      <w:r>
        <w:rPr>
          <w:rFonts w:ascii="Calibri" w:hAnsi="Calibri"/>
          <w:color w:val="1F2937"/>
          <w:sz w:val="22"/>
        </w:rPr>
        <w:t>III. La restricción de una cuenta no anula automáticamente un trámite o certificado. La revisión, rechazo, anulación o modificación de actuaciones deberá realizarse conforme al procedimiento específico que corresponda.</w:t>
      </w:r>
    </w:p>
    <w:p>
      <w:pPr>
        <w:keepNext/>
        <w:spacing w:before="220" w:after="100"/>
      </w:pPr>
      <w:r>
        <w:rPr>
          <w:rFonts w:ascii="Calibri" w:hAnsi="Calibri"/>
          <w:b/>
          <w:color w:val="1F4D78"/>
          <w:sz w:val="22"/>
        </w:rPr>
        <w:t>Artículo 5. (Debido proceso).</w:t>
      </w:r>
    </w:p>
    <w:p>
      <w:pPr>
        <w:spacing w:after="120" w:line="264" w:lineRule="auto"/>
      </w:pPr>
      <w:r>
        <w:rPr>
          <w:rFonts w:ascii="Calibri" w:hAnsi="Calibri"/>
          <w:color w:val="1F2937"/>
          <w:sz w:val="22"/>
        </w:rPr>
        <w:t>Las consecuencias definitivas deberán ser dispuestas por autoridad competente, mediante decisión fundamentada y previa comunicación de los hechos al usuario, garantizando su derecho a presentar descargos. Las medidas urgentes de seguridad deberán ser temporales, proporcionales y registradas en el sistema.</w:t>
      </w:r>
    </w:p>
    <w:p>
      <w:pPr>
        <w:keepNext/>
        <w:spacing w:before="220" w:after="100"/>
      </w:pPr>
      <w:r>
        <w:rPr>
          <w:rFonts w:ascii="Calibri" w:hAnsi="Calibri"/>
          <w:b/>
          <w:color w:val="1F4D78"/>
          <w:sz w:val="22"/>
        </w:rPr>
        <w:t>Artículo 6. (Responsabilidad penal).</w:t>
      </w:r>
    </w:p>
    <w:p>
      <w:pPr>
        <w:spacing w:after="120" w:line="264" w:lineRule="auto"/>
      </w:pPr>
      <w:r>
        <w:rPr>
          <w:rFonts w:ascii="Calibri" w:hAnsi="Calibri"/>
          <w:color w:val="1F2937"/>
          <w:sz w:val="22"/>
        </w:rPr>
        <w:t>Cuando los hechos puedan constituir delito, el INSO preservará los registros disponibles y remitirá los antecedentes al Ministerio Público u otra autoridad competente. El INSO no impone penas de cárcel; la responsabilidad y la pena solamente pueden ser determinadas dentro de un proceso penal.</w:t>
      </w:r>
    </w:p>
    <w:p>
      <w:pPr>
        <w:pStyle w:val="Heading2"/>
      </w:pPr>
      <w:r>
        <w:t>Alcance de las normas penales más relevantes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2050"/>
        <w:gridCol w:w="4210"/>
      </w:tblGrid>
      <w:tr>
        <w:trPr>
          <w:tblHeader w:val="true"/>
        </w:trPr>
        <w:tc>
          <w:tcPr>
            <w:tcW w:type="dxa" w:w="3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Conducta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Norma</w:t>
            </w:r>
          </w:p>
        </w:tc>
        <w:tc>
          <w:tcPr>
            <w:tcW w:type="dxa" w:w="42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Consecuencia legal prevista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Acceder, utilizar, modificar, suprimir o inutilizar datos sin autorización, causando perjuicio.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Código Penal, art. 363 ter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Prestación de trabajo hasta un año o multa hasta 200 días. Este artículo no establece cárcel.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Manipular datos para obtener beneficio indebido y provocar una transferencia patrimonial en perjuicio de tercero.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Código Penal, art. 363 bis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Reclusión de 1 a 5 años y multa de 60 a 200 días.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Falsificar o alterar documento público, o insertar declaraciones falsas en instrumento público.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Código Penal, arts. 198 y 199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Privación de libertad de 1 a 6 años, si concurren los elementos del delito.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Usar a sabiendas un documento falso o adulterado.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Código Penal, art. 203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La misma sanción correspondiente al autor de la falsedad aplicable.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color w:val="1F4D78"/>
          <w:sz w:val="22"/>
        </w:rPr>
        <w:t xml:space="preserve">Nota sobre el intento de acceso: </w:t>
      </w:r>
      <w:r>
        <w:rPr>
          <w:rFonts w:ascii="Calibri" w:hAnsi="Calibri"/>
          <w:color w:val="1F2937"/>
          <w:sz w:val="22"/>
        </w:rPr>
        <w:t>un intento técnico puede justificar el bloqueo preventivo y la preservación de registros, pero no significa automáticamente que exista un delito con pena de cárcel. La tentativa penal exige los presupuestos del artículo 8 del Código Penal y debe ser valorada por las autoridades competentes.</w:t>
      </w:r>
    </w:p>
    <w:p>
      <w:pPr>
        <w:pStyle w:val="Heading1"/>
      </w:pPr>
      <w:r>
        <w:t>Fundamento normativo verificado</w:t>
      </w:r>
    </w:p>
    <w:p>
      <w:pPr>
        <w:spacing w:after="100" w:line="280" w:lineRule="auto"/>
        <w:numPr>
          <w:ilvl w:val="0"/>
          <w:numId w:val="11"/>
        </w:numPr>
      </w:pPr>
      <w:r>
        <w:rPr>
          <w:rFonts w:ascii="Calibri" w:hAnsi="Calibri"/>
          <w:color w:val="1F2937"/>
          <w:sz w:val="22"/>
        </w:rPr>
        <w:t>Reglamento VUCE, versión 2, aprobado mediante Resolución de Directorio RD 01-062-25 de 29 de agosto de 2025: artículo 4 (incluye personas naturales y jurídicas), artículo 18 (exactitud y veracidad de documentos) y artículo 27 (confidencialidad y uso indebido).</w:t>
      </w:r>
    </w:p>
    <w:p>
      <w:pPr>
        <w:spacing w:after="120"/>
        <w:ind w:left="720"/>
      </w:pPr>
      <w:hyperlink r:id="rId11">
        <w:r>
          <w:rPr>
            <w:rFonts w:ascii="Calibri" w:hAnsi="Calibri"/>
            <w:color w:val="2E74B5"/>
            <w:u w:val="single"/>
            <w:sz w:val="20"/>
          </w:rPr>
          <w:t>Fuente oficial de la Aduana Nacional</w:t>
        </w:r>
      </w:hyperlink>
    </w:p>
    <w:p>
      <w:pPr>
        <w:spacing w:after="100" w:line="280" w:lineRule="auto"/>
        <w:numPr>
          <w:ilvl w:val="0"/>
          <w:numId w:val="11"/>
        </w:numPr>
      </w:pPr>
      <w:r>
        <w:rPr>
          <w:rFonts w:ascii="Calibri" w:hAnsi="Calibri"/>
          <w:color w:val="1F2937"/>
          <w:sz w:val="22"/>
        </w:rPr>
        <w:t>Ley N.º 2341 de Procedimiento Administrativo: artículos 72 a 76. Exige legalidad, tipicidad, proporcionalidad, presunción de inocencia y procedimiento previo para imponer sanciones administrativas.</w:t>
      </w:r>
    </w:p>
    <w:p>
      <w:pPr>
        <w:spacing w:after="120"/>
        <w:ind w:left="720"/>
      </w:pPr>
      <w:hyperlink r:id="rId12">
        <w:r>
          <w:rPr>
            <w:rFonts w:ascii="Calibri" w:hAnsi="Calibri"/>
            <w:color w:val="2E74B5"/>
            <w:u w:val="single"/>
            <w:sz w:val="20"/>
          </w:rPr>
          <w:t>Fuente oficial de la Gaceta Oficial</w:t>
        </w:r>
      </w:hyperlink>
    </w:p>
    <w:p>
      <w:pPr>
        <w:spacing w:after="100" w:line="280" w:lineRule="auto"/>
        <w:numPr>
          <w:ilvl w:val="0"/>
          <w:numId w:val="11"/>
        </w:numPr>
      </w:pPr>
      <w:r>
        <w:rPr>
          <w:rFonts w:ascii="Calibri" w:hAnsi="Calibri"/>
          <w:color w:val="1F2937"/>
          <w:sz w:val="22"/>
        </w:rPr>
        <w:t>Código Penal: artículos 8, 198, 199, 203, 363 bis y 363 ter. Su aplicación depende de los hechos probados y de la determinación de la autoridad penal competente.</w:t>
      </w:r>
    </w:p>
    <w:p>
      <w:pPr>
        <w:spacing w:after="120"/>
        <w:ind w:left="720"/>
      </w:pPr>
      <w:hyperlink r:id="rId13">
        <w:r>
          <w:rPr>
            <w:rFonts w:ascii="Calibri" w:hAnsi="Calibri"/>
            <w:color w:val="2E74B5"/>
            <w:u w:val="single"/>
            <w:sz w:val="20"/>
          </w:rPr>
          <w:t>Texto oficial alojado por SEGIP</w:t>
        </w:r>
      </w:hyperlink>
    </w:p>
    <w:p>
      <w:pPr>
        <w:spacing w:after="100" w:line="280" w:lineRule="auto"/>
        <w:numPr>
          <w:ilvl w:val="0"/>
          <w:numId w:val="11"/>
        </w:numPr>
      </w:pPr>
      <w:r>
        <w:rPr>
          <w:rFonts w:ascii="Calibri" w:hAnsi="Calibri"/>
          <w:color w:val="1F2937"/>
          <w:sz w:val="22"/>
        </w:rPr>
        <w:t>Ley N.º 1080 de Ciudadanía Digital, artículos 9 y 11: responsabilidad sobre credenciales y sanción del uso indebido, suplantación o alteración. Esta referencia será directamente aplicable al acceso del sistema únicamente si se utiliza Ciudadanía Digital.</w:t>
      </w:r>
    </w:p>
    <w:p>
      <w:pPr>
        <w:spacing w:after="120"/>
        <w:ind w:left="720"/>
      </w:pPr>
      <w:hyperlink r:id="rId14">
        <w:r>
          <w:rPr>
            <w:rFonts w:ascii="Calibri" w:hAnsi="Calibri"/>
            <w:color w:val="2E74B5"/>
            <w:u w:val="single"/>
            <w:sz w:val="20"/>
          </w:rPr>
          <w:t>Texto vigente en SILEP</w:t>
        </w:r>
      </w:hyperlink>
    </w:p>
    <w:p>
      <w:pPr>
        <w:spacing w:before="100" w:after="180" w:line="264" w:lineRule="auto"/>
        <w:ind w:left="115" w:right="115"/>
        <w:shd w:fill="E8EEF5"/>
        <w:pBdr>
          <w:left w:val="single" w:sz="18" w:space="8" w:color="1F4D78"/>
        </w:pBdr>
      </w:pPr>
      <w:r>
        <w:rPr>
          <w:rFonts w:ascii="Calibri" w:hAnsi="Calibri"/>
          <w:b/>
          <w:color w:val="1F4D78"/>
          <w:sz w:val="22"/>
        </w:rPr>
        <w:t xml:space="preserve">Advertencia de aprobación: </w:t>
      </w:r>
      <w:r>
        <w:rPr>
          <w:rFonts w:ascii="Calibri" w:hAnsi="Calibri"/>
          <w:color w:val="1F2937"/>
          <w:sz w:val="22"/>
        </w:rPr>
        <w:t>La VUCE se utiliza como modelo regulatorio; no otorga automáticamente al INSO competencia sancionadora. Antes de aprobar este capítulo, la Unidad Jurídica debe confirmar la competencia institucional y el procedimiento aplicable.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573"/>
        <w:sz w:val="18"/>
      </w:rPr>
      <w:t xml:space="preserve">Página </w:t>
    </w:r>
    <w:fldSimple w:instr="PAGE">
      <w:r>
        <w:rPr>
          <w:rFonts w:ascii="Calibri" w:hAnsi="Calibri"/>
          <w:sz w:val="18"/>
          <w:color w:val="5B6573"/>
        </w:rPr>
        <w:t>1</w:t>
      </w:r>
    </w:fldSimple>
    <w:r>
      <w:rPr>
        <w:rFonts w:ascii="Calibri" w:hAnsi="Calibri"/>
        <w:color w:val="5B6573"/>
        <w:sz w:val="18"/>
      </w:rPr>
      <w:t xml:space="preserve"> de </w:t>
    </w:r>
    <w:fldSimple w:instr="NUMPAGES">
      <w:r>
        <w:rPr>
          <w:rFonts w:ascii="Calibri" w:hAnsi="Calibri"/>
          <w:sz w:val="18"/>
          <w:color w:val="5B6573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5B6573"/>
        <w:sz w:val="17"/>
      </w:rPr>
      <w:t>INSO | Sistema Certificador | Documento de trabajo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lowerLetter"/>
      <w:lvlText w:val="%1)"/>
      <w:suff w:val="tab"/>
      <w:pPr>
        <w:tabs>
          <w:tab w:val="num" w:pos="720"/>
        </w:tabs>
        <w:ind w:left="720" w:hanging="360"/>
        <w:spacing w:after="10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0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aduana.gob.bo/sites/default/files/archivos/CIRCULARES%20221-2025_compressed_0.pdf" TargetMode="External"/><Relationship Id="rId12" Type="http://schemas.openxmlformats.org/officeDocument/2006/relationships/hyperlink" Target="https://www.gacetaoficialdebolivia.gob.bo/normas/vergratis_gob/20285" TargetMode="External"/><Relationship Id="rId13" Type="http://schemas.openxmlformats.org/officeDocument/2006/relationships/hyperlink" Target="https://www.segip.gob.bo/wp-content/uploads/2025/09/LEY-No-10426-DE-23-DE-AGOSTO-DE-1972-ELEVADO-A-RANGO-DE-LEY-Y-MODIFICADO-POR-LA-LEY-No-1768-DE-10-DE-MARZO-CODIGO-PENAL.pdf" TargetMode="External"/><Relationship Id="rId14" Type="http://schemas.openxmlformats.org/officeDocument/2006/relationships/hyperlink" Target="https://www.silep.gob.bo/norma/14001/ley_actualizad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Prohibiciones y consecuencias para usuarios externos del Sistema Certificador INSO</dc:title>
  <dc:subject>Propuesta de capítulo reglamentario</dc:subject>
  <dc:creator>INSO</dc:creator>
  <cp:keywords>INSO, sistema certificador, usuarios externos, prohibiciones, consecuencias, VUCE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