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D82A0" w14:textId="77777777" w:rsidR="00837FA6" w:rsidRDefault="00837FA6" w:rsidP="007562C6">
      <w:pPr>
        <w:jc w:val="center"/>
        <w:rPr>
          <w:b/>
          <w:bCs/>
          <w:sz w:val="32"/>
          <w:szCs w:val="32"/>
        </w:rPr>
      </w:pPr>
      <w:r>
        <w:rPr>
          <w:b/>
          <w:bCs/>
          <w:sz w:val="32"/>
          <w:szCs w:val="32"/>
        </w:rPr>
        <w:t>Introduction to Data Analytics</w:t>
      </w:r>
    </w:p>
    <w:p w14:paraId="44698258" w14:textId="55B1790B" w:rsidR="00846FD0" w:rsidRPr="007562C6" w:rsidRDefault="007562C6" w:rsidP="007562C6">
      <w:pPr>
        <w:jc w:val="center"/>
        <w:rPr>
          <w:b/>
          <w:bCs/>
          <w:sz w:val="32"/>
          <w:szCs w:val="32"/>
        </w:rPr>
      </w:pPr>
      <w:r w:rsidRPr="007562C6">
        <w:rPr>
          <w:b/>
          <w:bCs/>
          <w:sz w:val="32"/>
          <w:szCs w:val="32"/>
        </w:rPr>
        <w:t>Lab Sheet 2</w:t>
      </w:r>
    </w:p>
    <w:p w14:paraId="716CBE4C" w14:textId="23DDB49D" w:rsidR="007562C6" w:rsidRDefault="007562C6" w:rsidP="007562C6">
      <w:pPr>
        <w:jc w:val="center"/>
      </w:pPr>
      <w:r>
        <w:t>Ian Nabney</w:t>
      </w:r>
      <w:r w:rsidR="00CB123E">
        <w:t xml:space="preserve"> (partly based on a tutorial presented at the Alan Turing Institute)</w:t>
      </w:r>
    </w:p>
    <w:p w14:paraId="071A650A" w14:textId="06FAC4CE" w:rsidR="00DB605B" w:rsidRDefault="00DB605B" w:rsidP="00D056B2">
      <w:pPr>
        <w:pStyle w:val="Heading1"/>
      </w:pPr>
      <w:r>
        <w:t>More Tableau Fundamentals</w:t>
      </w:r>
    </w:p>
    <w:p w14:paraId="70E86D3A" w14:textId="7836723C" w:rsidR="00DB605B" w:rsidRPr="00DB605B" w:rsidRDefault="00DB605B" w:rsidP="00DB605B">
      <w:r w:rsidRPr="00DB605B">
        <w:t>Measures are data fields that contain numerical values, with which you can perform</w:t>
      </w:r>
      <w:r w:rsidR="006305C8">
        <w:t xml:space="preserve"> </w:t>
      </w:r>
      <w:r w:rsidRPr="00DB605B">
        <w:t>mathematical calculations. Dimensions are all other data fields (categorical, ordinal, date,</w:t>
      </w:r>
      <w:r w:rsidR="006305C8">
        <w:t xml:space="preserve"> </w:t>
      </w:r>
      <w:r w:rsidRPr="00DB605B">
        <w:t>etc.). The icons that Tableau uses for data types are shown in Table 1.</w:t>
      </w:r>
    </w:p>
    <w:p w14:paraId="36F031BC" w14:textId="3E8A77B4" w:rsidR="00DB605B" w:rsidRPr="00DB605B" w:rsidRDefault="00DB605B" w:rsidP="00DB605B">
      <w:r w:rsidRPr="00DB605B">
        <w:t xml:space="preserve">When you drag a field to the columns or rows shelf the field is shown as a </w:t>
      </w:r>
      <w:r w:rsidRPr="00DB605B">
        <w:rPr>
          <w:i/>
          <w:iCs/>
        </w:rPr>
        <w:t xml:space="preserve">blue </w:t>
      </w:r>
      <w:r w:rsidRPr="00DB605B">
        <w:t xml:space="preserve">or </w:t>
      </w:r>
      <w:r w:rsidRPr="00DB605B">
        <w:rPr>
          <w:i/>
          <w:iCs/>
        </w:rPr>
        <w:t>green pill</w:t>
      </w:r>
      <w:r w:rsidRPr="00DB605B">
        <w:t>. Blue pills are discrete (a finite number of values) whereas green pills are</w:t>
      </w:r>
      <w:r w:rsidR="006305C8">
        <w:t xml:space="preserve"> </w:t>
      </w:r>
      <w:r w:rsidRPr="00DB605B">
        <w:t>continuous (in principle they contain an infinite number of values). Most dimensions are</w:t>
      </w:r>
      <w:r w:rsidR="006305C8">
        <w:t xml:space="preserve"> </w:t>
      </w:r>
      <w:r w:rsidRPr="00DB605B">
        <w:t>discrete, but they can be continuous (dates can be discrete or continuous). Most measures are</w:t>
      </w:r>
      <w:r w:rsidR="006305C8">
        <w:t xml:space="preserve"> </w:t>
      </w:r>
      <w:r w:rsidRPr="00DB605B">
        <w:t>continuous, but they can be discrete (e.g., the number of items that a customer purchased).</w:t>
      </w:r>
    </w:p>
    <w:p w14:paraId="425FC655" w14:textId="77777777" w:rsidR="006305C8" w:rsidRDefault="00DB605B" w:rsidP="00DB605B">
      <w:r w:rsidRPr="00DB605B">
        <w:t xml:space="preserve">The types of your data dictate the types of </w:t>
      </w:r>
      <w:proofErr w:type="gramStart"/>
      <w:r w:rsidRPr="00DB605B">
        <w:t>chart</w:t>
      </w:r>
      <w:proofErr w:type="gramEnd"/>
      <w:r w:rsidRPr="00DB605B">
        <w:t xml:space="preserve"> that you can create.</w:t>
      </w:r>
    </w:p>
    <w:p w14:paraId="7D5A02A4" w14:textId="5E5551C8" w:rsidR="00161C1F" w:rsidRDefault="007562C6" w:rsidP="00DB605B">
      <w:r>
        <w:t xml:space="preserve">Note how Tableau uses the terminology ‘marks’ </w:t>
      </w:r>
      <w:r w:rsidR="00A77518">
        <w:t>for what we have defined</w:t>
      </w:r>
      <w:r w:rsidR="00666EE9">
        <w:t xml:space="preserve"> in the lectures</w:t>
      </w:r>
      <w:r w:rsidR="00A77518">
        <w:t xml:space="preserve"> as ‘channels’ (</w:t>
      </w:r>
      <w:proofErr w:type="gramStart"/>
      <w:r w:rsidR="00A77518">
        <w:t>i.e.</w:t>
      </w:r>
      <w:proofErr w:type="gramEnd"/>
      <w:r w:rsidR="00A77518">
        <w:t xml:space="preserve"> </w:t>
      </w:r>
      <w:r w:rsidR="00691F05">
        <w:t>modifiers of the appearance of the basic marks.</w:t>
      </w:r>
      <w:r w:rsidR="00161C1F">
        <w:t xml:space="preserve"> </w:t>
      </w:r>
    </w:p>
    <w:tbl>
      <w:tblPr>
        <w:tblStyle w:val="TableGrid"/>
        <w:tblW w:w="0" w:type="auto"/>
        <w:tblInd w:w="2378" w:type="dxa"/>
        <w:tblLook w:val="04A0" w:firstRow="1" w:lastRow="0" w:firstColumn="1" w:lastColumn="0" w:noHBand="0" w:noVBand="1"/>
      </w:tblPr>
      <w:tblGrid>
        <w:gridCol w:w="2263"/>
        <w:gridCol w:w="1985"/>
      </w:tblGrid>
      <w:tr w:rsidR="001460B0" w14:paraId="69B72D96" w14:textId="77777777" w:rsidTr="001460B0">
        <w:tc>
          <w:tcPr>
            <w:tcW w:w="2263" w:type="dxa"/>
          </w:tcPr>
          <w:p w14:paraId="7224FEE4" w14:textId="6F538D64" w:rsidR="001460B0" w:rsidRDefault="001460B0" w:rsidP="00DB605B">
            <w:r>
              <w:t>Icon</w:t>
            </w:r>
          </w:p>
        </w:tc>
        <w:tc>
          <w:tcPr>
            <w:tcW w:w="1985" w:type="dxa"/>
          </w:tcPr>
          <w:p w14:paraId="105360D9" w14:textId="344E2B72" w:rsidR="001460B0" w:rsidRDefault="001460B0" w:rsidP="001460B0">
            <w:r>
              <w:t>Type</w:t>
            </w:r>
          </w:p>
        </w:tc>
      </w:tr>
      <w:tr w:rsidR="001460B0" w14:paraId="578466BA" w14:textId="77777777" w:rsidTr="001460B0">
        <w:tc>
          <w:tcPr>
            <w:tcW w:w="2263" w:type="dxa"/>
          </w:tcPr>
          <w:p w14:paraId="335CBBA5" w14:textId="64327407" w:rsidR="001460B0" w:rsidRDefault="005B6E07" w:rsidP="00DB605B">
            <w:r>
              <w:rPr>
                <w:noProof/>
              </w:rPr>
              <w:drawing>
                <wp:inline distT="0" distB="0" distL="0" distR="0" wp14:anchorId="7E9A19AA" wp14:editId="78D788E3">
                  <wp:extent cx="200025" cy="152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25" cy="152400"/>
                          </a:xfrm>
                          <a:prstGeom prst="rect">
                            <a:avLst/>
                          </a:prstGeom>
                        </pic:spPr>
                      </pic:pic>
                    </a:graphicData>
                  </a:graphic>
                </wp:inline>
              </w:drawing>
            </w:r>
          </w:p>
        </w:tc>
        <w:tc>
          <w:tcPr>
            <w:tcW w:w="1985" w:type="dxa"/>
          </w:tcPr>
          <w:p w14:paraId="07976EDA" w14:textId="5DB67A4B" w:rsidR="001460B0" w:rsidRDefault="003E4892" w:rsidP="001460B0">
            <w:r>
              <w:t>Text (string)</w:t>
            </w:r>
          </w:p>
        </w:tc>
      </w:tr>
      <w:tr w:rsidR="001460B0" w14:paraId="6284C3D3" w14:textId="77777777" w:rsidTr="001460B0">
        <w:tc>
          <w:tcPr>
            <w:tcW w:w="2263" w:type="dxa"/>
          </w:tcPr>
          <w:p w14:paraId="0D65DCFE" w14:textId="44414432" w:rsidR="001460B0" w:rsidRDefault="003E4892" w:rsidP="00DB605B">
            <w:r>
              <w:rPr>
                <w:noProof/>
              </w:rPr>
              <w:drawing>
                <wp:inline distT="0" distB="0" distL="0" distR="0" wp14:anchorId="16E20CD5" wp14:editId="7912F29C">
                  <wp:extent cx="2095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50" cy="209550"/>
                          </a:xfrm>
                          <a:prstGeom prst="rect">
                            <a:avLst/>
                          </a:prstGeom>
                        </pic:spPr>
                      </pic:pic>
                    </a:graphicData>
                  </a:graphic>
                </wp:inline>
              </w:drawing>
            </w:r>
          </w:p>
        </w:tc>
        <w:tc>
          <w:tcPr>
            <w:tcW w:w="1985" w:type="dxa"/>
          </w:tcPr>
          <w:p w14:paraId="17DBB393" w14:textId="2B2AA4CB" w:rsidR="001460B0" w:rsidRDefault="003E4892" w:rsidP="001460B0">
            <w:r>
              <w:t>Date</w:t>
            </w:r>
          </w:p>
        </w:tc>
      </w:tr>
      <w:tr w:rsidR="001460B0" w14:paraId="286FF245" w14:textId="77777777" w:rsidTr="001460B0">
        <w:tc>
          <w:tcPr>
            <w:tcW w:w="2263" w:type="dxa"/>
          </w:tcPr>
          <w:p w14:paraId="1A59630D" w14:textId="3FFAC39D" w:rsidR="001460B0" w:rsidRDefault="003A72D7" w:rsidP="00DB605B">
            <w:r>
              <w:rPr>
                <w:noProof/>
              </w:rPr>
              <w:drawing>
                <wp:inline distT="0" distB="0" distL="0" distR="0" wp14:anchorId="122F3089" wp14:editId="3765AAB9">
                  <wp:extent cx="228600" cy="20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 cy="200025"/>
                          </a:xfrm>
                          <a:prstGeom prst="rect">
                            <a:avLst/>
                          </a:prstGeom>
                        </pic:spPr>
                      </pic:pic>
                    </a:graphicData>
                  </a:graphic>
                </wp:inline>
              </w:drawing>
            </w:r>
          </w:p>
        </w:tc>
        <w:tc>
          <w:tcPr>
            <w:tcW w:w="1985" w:type="dxa"/>
          </w:tcPr>
          <w:p w14:paraId="7239A4B0" w14:textId="1B531E80" w:rsidR="001460B0" w:rsidRDefault="003E4892" w:rsidP="001460B0">
            <w:r>
              <w:t>Date and Time</w:t>
            </w:r>
          </w:p>
        </w:tc>
      </w:tr>
      <w:tr w:rsidR="001460B0" w14:paraId="0ADE1F05" w14:textId="77777777" w:rsidTr="001460B0">
        <w:tc>
          <w:tcPr>
            <w:tcW w:w="2263" w:type="dxa"/>
          </w:tcPr>
          <w:p w14:paraId="69ADFE21" w14:textId="59027C75" w:rsidR="001460B0" w:rsidRDefault="003A72D7" w:rsidP="00DB605B">
            <w:r>
              <w:rPr>
                <w:noProof/>
              </w:rPr>
              <w:drawing>
                <wp:inline distT="0" distB="0" distL="0" distR="0" wp14:anchorId="4F6D8D36" wp14:editId="38CF425C">
                  <wp:extent cx="152400" cy="13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33350"/>
                          </a:xfrm>
                          <a:prstGeom prst="rect">
                            <a:avLst/>
                          </a:prstGeom>
                        </pic:spPr>
                      </pic:pic>
                    </a:graphicData>
                  </a:graphic>
                </wp:inline>
              </w:drawing>
            </w:r>
          </w:p>
        </w:tc>
        <w:tc>
          <w:tcPr>
            <w:tcW w:w="1985" w:type="dxa"/>
          </w:tcPr>
          <w:p w14:paraId="52FB399D" w14:textId="2DD3BF9F" w:rsidR="001460B0" w:rsidRDefault="003A72D7" w:rsidP="001460B0">
            <w:r>
              <w:t>Numerical</w:t>
            </w:r>
          </w:p>
        </w:tc>
      </w:tr>
      <w:tr w:rsidR="001460B0" w14:paraId="2798E1B7" w14:textId="77777777" w:rsidTr="001460B0">
        <w:tc>
          <w:tcPr>
            <w:tcW w:w="2263" w:type="dxa"/>
          </w:tcPr>
          <w:p w14:paraId="0658B446" w14:textId="4440C6FB" w:rsidR="001460B0" w:rsidRDefault="00CB08C2" w:rsidP="00DB605B">
            <w:r w:rsidRPr="00CB08C2">
              <w:rPr>
                <w:noProof/>
              </w:rPr>
              <w:drawing>
                <wp:inline distT="0" distB="0" distL="0" distR="0" wp14:anchorId="254D43ED" wp14:editId="1CDC233E">
                  <wp:extent cx="180975" cy="152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p>
        </w:tc>
        <w:tc>
          <w:tcPr>
            <w:tcW w:w="1985" w:type="dxa"/>
          </w:tcPr>
          <w:p w14:paraId="1408906A" w14:textId="4E1EDC9F" w:rsidR="001460B0" w:rsidRDefault="00CB08C2" w:rsidP="001460B0">
            <w:r>
              <w:t>Boolean</w:t>
            </w:r>
          </w:p>
        </w:tc>
      </w:tr>
      <w:tr w:rsidR="001460B0" w14:paraId="328CBDF7" w14:textId="77777777" w:rsidTr="001460B0">
        <w:tc>
          <w:tcPr>
            <w:tcW w:w="2263" w:type="dxa"/>
          </w:tcPr>
          <w:p w14:paraId="2F17ED97" w14:textId="1FCEDF4A" w:rsidR="001460B0" w:rsidRDefault="00ED2460" w:rsidP="00DB605B">
            <w:r>
              <w:rPr>
                <w:noProof/>
              </w:rPr>
              <w:drawing>
                <wp:inline distT="0" distB="0" distL="0" distR="0" wp14:anchorId="5E58E735" wp14:editId="13AAC77B">
                  <wp:extent cx="180975" cy="104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975" cy="104775"/>
                          </a:xfrm>
                          <a:prstGeom prst="rect">
                            <a:avLst/>
                          </a:prstGeom>
                        </pic:spPr>
                      </pic:pic>
                    </a:graphicData>
                  </a:graphic>
                </wp:inline>
              </w:drawing>
            </w:r>
          </w:p>
        </w:tc>
        <w:tc>
          <w:tcPr>
            <w:tcW w:w="1985" w:type="dxa"/>
          </w:tcPr>
          <w:p w14:paraId="440297F7" w14:textId="144C4DFD" w:rsidR="001460B0" w:rsidRDefault="00CB08C2" w:rsidP="001460B0">
            <w:r>
              <w:t>Geographic</w:t>
            </w:r>
          </w:p>
        </w:tc>
      </w:tr>
    </w:tbl>
    <w:p w14:paraId="0A2F5348" w14:textId="01FB1066" w:rsidR="001B777E" w:rsidRPr="002175D6" w:rsidRDefault="007F1E44" w:rsidP="00222B23">
      <w:pPr>
        <w:autoSpaceDE w:val="0"/>
        <w:autoSpaceDN w:val="0"/>
        <w:adjustRightInd w:val="0"/>
        <w:spacing w:after="0"/>
        <w:rPr>
          <w:rFonts w:cs="Arial"/>
          <w:i/>
          <w:iCs/>
          <w:color w:val="000000"/>
          <w:szCs w:val="22"/>
        </w:rPr>
      </w:pPr>
      <w:r w:rsidRPr="002175D6">
        <w:rPr>
          <w:rFonts w:cs="Arial"/>
          <w:i/>
          <w:iCs/>
          <w:color w:val="000000"/>
          <w:szCs w:val="22"/>
        </w:rPr>
        <w:t xml:space="preserve">Table 1: Tableau’s data types (see </w:t>
      </w:r>
      <w:hyperlink r:id="rId14" w:history="1">
        <w:r w:rsidR="00F118F7" w:rsidRPr="002175D6">
          <w:rPr>
            <w:rStyle w:val="Hyperlink"/>
            <w:rFonts w:cs="Arial"/>
            <w:i/>
            <w:iCs/>
            <w:szCs w:val="22"/>
          </w:rPr>
          <w:t>https://help.tableau.com/current/pro/desktop/en-us/datafields_typesandroles_datatypes.htm</w:t>
        </w:r>
      </w:hyperlink>
      <w:r w:rsidR="00F118F7" w:rsidRPr="002175D6">
        <w:rPr>
          <w:rFonts w:cs="Arial"/>
          <w:i/>
          <w:iCs/>
          <w:color w:val="0000FF"/>
          <w:szCs w:val="22"/>
        </w:rPr>
        <w:t xml:space="preserve"> </w:t>
      </w:r>
      <w:r w:rsidR="00222B23" w:rsidRPr="002175D6">
        <w:rPr>
          <w:rFonts w:cs="Arial"/>
          <w:i/>
          <w:iCs/>
          <w:color w:val="0000FF"/>
          <w:szCs w:val="22"/>
        </w:rPr>
        <w:t xml:space="preserve"> </w:t>
      </w:r>
      <w:r w:rsidRPr="002175D6">
        <w:rPr>
          <w:rFonts w:cs="Arial"/>
          <w:i/>
          <w:iCs/>
          <w:color w:val="000000"/>
          <w:szCs w:val="22"/>
        </w:rPr>
        <w:t xml:space="preserve">). </w:t>
      </w:r>
      <w:r w:rsidR="00222B23" w:rsidRPr="002175D6">
        <w:rPr>
          <w:rFonts w:cs="Arial"/>
          <w:i/>
          <w:iCs/>
          <w:color w:val="000000"/>
          <w:szCs w:val="22"/>
        </w:rPr>
        <w:t xml:space="preserve"> </w:t>
      </w:r>
    </w:p>
    <w:p w14:paraId="114E2605" w14:textId="77777777" w:rsidR="007F1E44" w:rsidRDefault="007F1E44" w:rsidP="007F1E44"/>
    <w:p w14:paraId="4291BCF2" w14:textId="024591DE" w:rsidR="00DB605B" w:rsidRDefault="006305C8" w:rsidP="00287D50">
      <w:pPr>
        <w:pStyle w:val="Heading1"/>
      </w:pPr>
      <w:r>
        <w:t>Exercises</w:t>
      </w:r>
    </w:p>
    <w:p w14:paraId="0CB3D4FD" w14:textId="77777777" w:rsidR="00D056B2" w:rsidRDefault="00B56EB8" w:rsidP="00D056B2">
      <w:pPr>
        <w:pStyle w:val="Heading2"/>
      </w:pPr>
      <w:r>
        <w:t xml:space="preserve">Date and time data. </w:t>
      </w:r>
    </w:p>
    <w:p w14:paraId="515C46B2" w14:textId="6DE27DB8" w:rsidR="007562C6" w:rsidRDefault="000D4032" w:rsidP="00D056B2">
      <w:r w:rsidRPr="000D4032">
        <w:t xml:space="preserve">The granularity of </w:t>
      </w:r>
      <w:r w:rsidRPr="000D4032">
        <w:rPr>
          <w:i/>
          <w:iCs/>
        </w:rPr>
        <w:t xml:space="preserve">Date </w:t>
      </w:r>
      <w:r w:rsidRPr="000D4032">
        <w:t xml:space="preserve">and </w:t>
      </w:r>
      <w:r w:rsidRPr="000D4032">
        <w:rPr>
          <w:i/>
          <w:iCs/>
        </w:rPr>
        <w:t xml:space="preserve">Date/time </w:t>
      </w:r>
      <w:r w:rsidRPr="000D4032">
        <w:t xml:space="preserve">data, and </w:t>
      </w:r>
      <w:proofErr w:type="gramStart"/>
      <w:r w:rsidRPr="000D4032">
        <w:t>whether or not</w:t>
      </w:r>
      <w:proofErr w:type="gramEnd"/>
      <w:r w:rsidRPr="000D4032">
        <w:t xml:space="preserve"> it is treated as discrete (a blue</w:t>
      </w:r>
      <w:r>
        <w:t xml:space="preserve"> </w:t>
      </w:r>
      <w:r w:rsidRPr="000D4032">
        <w:t>pill) or continuous (green pill) can be changed interactively to help you explore your data.</w:t>
      </w:r>
      <w:r>
        <w:t xml:space="preserve"> </w:t>
      </w:r>
      <w:r w:rsidRPr="000D4032">
        <w:t>To illustrate this, open the “Sample – Superstore” dataset, and create a</w:t>
      </w:r>
      <w:r>
        <w:t xml:space="preserve"> </w:t>
      </w:r>
      <w:r w:rsidRPr="000D4032">
        <w:t xml:space="preserve">chart that shows </w:t>
      </w:r>
      <w:r w:rsidRPr="000D4032">
        <w:rPr>
          <w:i/>
          <w:iCs/>
        </w:rPr>
        <w:t xml:space="preserve">Order Date </w:t>
      </w:r>
      <w:r w:rsidRPr="000D4032">
        <w:t xml:space="preserve">vs. </w:t>
      </w:r>
      <w:r w:rsidRPr="000D4032">
        <w:rPr>
          <w:i/>
          <w:iCs/>
        </w:rPr>
        <w:t>Sales</w:t>
      </w:r>
      <w:r w:rsidR="007C3CBF">
        <w:rPr>
          <w:i/>
          <w:iCs/>
        </w:rPr>
        <w:t xml:space="preserve"> Target</w:t>
      </w:r>
      <w:r w:rsidRPr="000D4032">
        <w:t>. The date defaults to discrete at year granularity, but by</w:t>
      </w:r>
      <w:r>
        <w:t xml:space="preserve"> </w:t>
      </w:r>
      <w:r w:rsidRPr="000D4032">
        <w:t xml:space="preserve">clicking on the ‘+’ of the Order Date pill you can make the chart </w:t>
      </w:r>
      <w:proofErr w:type="gramStart"/>
      <w:r w:rsidRPr="000D4032">
        <w:t>finer-grained</w:t>
      </w:r>
      <w:proofErr w:type="gramEnd"/>
      <w:r w:rsidRPr="000D4032">
        <w:t xml:space="preserve"> (see Figure </w:t>
      </w:r>
      <w:r>
        <w:t>1</w:t>
      </w:r>
      <w:r w:rsidRPr="000D4032">
        <w:t>).</w:t>
      </w:r>
    </w:p>
    <w:p w14:paraId="65200577" w14:textId="481F61DE" w:rsidR="001C52B9" w:rsidRDefault="004E171C" w:rsidP="001C52B9">
      <w:r>
        <w:rPr>
          <w:noProof/>
        </w:rPr>
        <w:lastRenderedPageBreak/>
        <w:drawing>
          <wp:inline distT="0" distB="0" distL="0" distR="0" wp14:anchorId="1311175B" wp14:editId="0C673B42">
            <wp:extent cx="1621787" cy="290258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56915" cy="2965455"/>
                    </a:xfrm>
                    <a:prstGeom prst="rect">
                      <a:avLst/>
                    </a:prstGeom>
                  </pic:spPr>
                </pic:pic>
              </a:graphicData>
            </a:graphic>
          </wp:inline>
        </w:drawing>
      </w:r>
      <w:r w:rsidR="001B1D09">
        <w:t xml:space="preserve">  </w:t>
      </w:r>
      <w:r w:rsidR="00FD02D2">
        <w:t xml:space="preserve">  </w:t>
      </w:r>
      <w:r w:rsidR="00FD02D2">
        <w:rPr>
          <w:noProof/>
        </w:rPr>
        <w:drawing>
          <wp:inline distT="0" distB="0" distL="0" distR="0" wp14:anchorId="401771F6" wp14:editId="46E49686">
            <wp:extent cx="4448175" cy="2929181"/>
            <wp:effectExtent l="0" t="0" r="0" b="508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5598" cy="2947239"/>
                    </a:xfrm>
                    <a:prstGeom prst="rect">
                      <a:avLst/>
                    </a:prstGeom>
                  </pic:spPr>
                </pic:pic>
              </a:graphicData>
            </a:graphic>
          </wp:inline>
        </w:drawing>
      </w:r>
    </w:p>
    <w:p w14:paraId="6A71E432" w14:textId="4A5A84FE" w:rsidR="001B1D09" w:rsidRPr="002175D6" w:rsidRDefault="001B1D09" w:rsidP="001C52B9">
      <w:pPr>
        <w:rPr>
          <w:i/>
          <w:iCs/>
        </w:rPr>
      </w:pPr>
      <w:r w:rsidRPr="002175D6">
        <w:rPr>
          <w:i/>
          <w:iCs/>
        </w:rPr>
        <w:t>Figure 1: Sales data shown for discrete dates at the granularity of (a) a year and (b) a quarter.</w:t>
      </w:r>
    </w:p>
    <w:p w14:paraId="0DACDD5E" w14:textId="5D57D449" w:rsidR="001B1D09" w:rsidRDefault="00FF1FAA" w:rsidP="001C52B9">
      <w:r>
        <w:t xml:space="preserve">Alternatively, you can select the drop-down menu of the Order Date </w:t>
      </w:r>
      <w:proofErr w:type="gramStart"/>
      <w:r>
        <w:t>pill</w:t>
      </w:r>
      <w:proofErr w:type="gramEnd"/>
      <w:r>
        <w:t xml:space="preserve"> and both change the granularity and display the data as continuous</w:t>
      </w:r>
      <w:r w:rsidR="003E54CB">
        <w:t xml:space="preserve"> (see Figure 2).</w:t>
      </w:r>
    </w:p>
    <w:p w14:paraId="5CE13885" w14:textId="41F5769E" w:rsidR="00341AB2" w:rsidRDefault="003E54CB" w:rsidP="00D056B2">
      <w:pPr>
        <w:keepNext/>
      </w:pPr>
      <w:r>
        <w:rPr>
          <w:noProof/>
        </w:rPr>
        <w:drawing>
          <wp:inline distT="0" distB="0" distL="0" distR="0" wp14:anchorId="0222EC16" wp14:editId="771446DF">
            <wp:extent cx="1581289" cy="5140960"/>
            <wp:effectExtent l="0" t="0" r="0" b="254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02398" cy="5209587"/>
                    </a:xfrm>
                    <a:prstGeom prst="rect">
                      <a:avLst/>
                    </a:prstGeom>
                  </pic:spPr>
                </pic:pic>
              </a:graphicData>
            </a:graphic>
          </wp:inline>
        </w:drawing>
      </w:r>
      <w:r w:rsidR="00341AB2">
        <w:t xml:space="preserve">  </w:t>
      </w:r>
      <w:r>
        <w:rPr>
          <w:noProof/>
        </w:rPr>
        <w:drawing>
          <wp:inline distT="0" distB="0" distL="0" distR="0" wp14:anchorId="00D45EA6" wp14:editId="21175FED">
            <wp:extent cx="4251514" cy="2773680"/>
            <wp:effectExtent l="0" t="0" r="0" b="762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9509" cy="2778896"/>
                    </a:xfrm>
                    <a:prstGeom prst="rect">
                      <a:avLst/>
                    </a:prstGeom>
                  </pic:spPr>
                </pic:pic>
              </a:graphicData>
            </a:graphic>
          </wp:inline>
        </w:drawing>
      </w:r>
    </w:p>
    <w:p w14:paraId="22C3FA26" w14:textId="3EB962E0" w:rsidR="00341AB2" w:rsidRPr="002175D6" w:rsidRDefault="00341AB2" w:rsidP="001C52B9">
      <w:pPr>
        <w:rPr>
          <w:i/>
          <w:iCs/>
        </w:rPr>
      </w:pPr>
      <w:r w:rsidRPr="002175D6">
        <w:rPr>
          <w:i/>
          <w:iCs/>
        </w:rPr>
        <w:t>Figure 2: (a) Options for displaying date data, and (b) sales data shown for continuous dates at the granularity of a day.</w:t>
      </w:r>
    </w:p>
    <w:p w14:paraId="691311CD" w14:textId="79716616" w:rsidR="000C7EB5" w:rsidRDefault="000C7EB5" w:rsidP="000C7EB5">
      <w:pPr>
        <w:pStyle w:val="Heading2"/>
      </w:pPr>
      <w:r>
        <w:lastRenderedPageBreak/>
        <w:t>Chart types</w:t>
      </w:r>
    </w:p>
    <w:p w14:paraId="3A5B5F1D" w14:textId="1D04F576" w:rsidR="00A71E2D" w:rsidRDefault="00A71E2D" w:rsidP="000C7EB5">
      <w:r>
        <w:t xml:space="preserve">We will now discuss </w:t>
      </w:r>
      <w:r w:rsidR="00257F46">
        <w:t>some</w:t>
      </w:r>
      <w:r>
        <w:t xml:space="preserve"> more chart types and how they can be used. More will be covered in the exercises in lab 3.</w:t>
      </w:r>
    </w:p>
    <w:p w14:paraId="0E665986" w14:textId="58C9374D" w:rsidR="000C7EB5" w:rsidRDefault="002258BD" w:rsidP="000C7EB5">
      <w:r w:rsidRPr="002258BD">
        <w:t>Now close your workbook and open the “World Indicators” dataset.</w:t>
      </w:r>
    </w:p>
    <w:p w14:paraId="75B664B2" w14:textId="09A59EDB" w:rsidR="001C3F8A" w:rsidRDefault="001C3F8A" w:rsidP="001C3F8A">
      <w:pPr>
        <w:pStyle w:val="Heading3"/>
      </w:pPr>
      <w:r>
        <w:t>Bar Chart</w:t>
      </w:r>
    </w:p>
    <w:p w14:paraId="38BCD534" w14:textId="46242276" w:rsidR="002258BD" w:rsidRDefault="001B437C" w:rsidP="001C3F8A">
      <w:r>
        <w:t>Create a new worksheet. Now, i</w:t>
      </w:r>
      <w:r w:rsidR="001C3F8A" w:rsidRPr="001C3F8A">
        <w:t xml:space="preserve">f you select Region vs. Internet Usage then Tableau creates a bar chart. </w:t>
      </w:r>
      <w:r w:rsidR="001C3F8A" w:rsidRPr="001C3F8A">
        <w:rPr>
          <w:i/>
          <w:iCs/>
        </w:rPr>
        <w:t xml:space="preserve">Show Me </w:t>
      </w:r>
      <w:r w:rsidR="001C3F8A" w:rsidRPr="001C3F8A">
        <w:t>uses an</w:t>
      </w:r>
      <w:r w:rsidR="001C3F8A">
        <w:t xml:space="preserve"> </w:t>
      </w:r>
      <w:r w:rsidR="001C3F8A" w:rsidRPr="001C3F8A">
        <w:t>orange rectangle to indicate that a bar chart is the recommended chart type, but several other</w:t>
      </w:r>
      <w:r w:rsidR="001C3F8A">
        <w:t xml:space="preserve"> </w:t>
      </w:r>
      <w:r w:rsidR="001C3F8A" w:rsidRPr="001C3F8A">
        <w:t xml:space="preserve">chart types are possible (see Figure </w:t>
      </w:r>
      <w:r w:rsidR="00403082">
        <w:t>3</w:t>
      </w:r>
      <w:r w:rsidR="001C3F8A" w:rsidRPr="001C3F8A">
        <w:t>).</w:t>
      </w:r>
    </w:p>
    <w:p w14:paraId="13FDCA77" w14:textId="24E85418" w:rsidR="00230CAA" w:rsidRDefault="00230CAA" w:rsidP="001C3F8A">
      <w:r w:rsidRPr="00230CAA">
        <w:rPr>
          <w:noProof/>
        </w:rPr>
        <w:drawing>
          <wp:inline distT="0" distB="0" distL="0" distR="0" wp14:anchorId="5A098D69" wp14:editId="47BFD201">
            <wp:extent cx="6645910" cy="3432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432175"/>
                    </a:xfrm>
                    <a:prstGeom prst="rect">
                      <a:avLst/>
                    </a:prstGeom>
                    <a:noFill/>
                    <a:ln>
                      <a:noFill/>
                    </a:ln>
                  </pic:spPr>
                </pic:pic>
              </a:graphicData>
            </a:graphic>
          </wp:inline>
        </w:drawing>
      </w:r>
    </w:p>
    <w:p w14:paraId="7FEEED7D" w14:textId="35434FED" w:rsidR="00230CAA" w:rsidRPr="002175D6" w:rsidRDefault="00230CAA" w:rsidP="001C3F8A">
      <w:pPr>
        <w:rPr>
          <w:i/>
          <w:iCs/>
        </w:rPr>
      </w:pPr>
      <w:r w:rsidRPr="002175D6">
        <w:rPr>
          <w:i/>
          <w:iCs/>
        </w:rPr>
        <w:t>Figure 3: A bar chart, which in this case is the recommended Show Me chart type.</w:t>
      </w:r>
    </w:p>
    <w:p w14:paraId="725DFB21" w14:textId="1A781E7F" w:rsidR="00230CAA" w:rsidRDefault="00230CAA" w:rsidP="001C3F8A"/>
    <w:p w14:paraId="0D36AB35" w14:textId="2B2B95A2" w:rsidR="00230CAA" w:rsidRDefault="00E7431F" w:rsidP="00E7431F">
      <w:pPr>
        <w:pStyle w:val="Heading3"/>
      </w:pPr>
      <w:r>
        <w:t>Line chart (independent axes, dual axis)</w:t>
      </w:r>
    </w:p>
    <w:p w14:paraId="2846ECC3" w14:textId="77777777" w:rsidR="00DF7B09" w:rsidRDefault="00DF7B09" w:rsidP="00DF7B09">
      <w:r w:rsidRPr="00DF7B09">
        <w:t xml:space="preserve">Create a line chart of </w:t>
      </w:r>
      <w:r w:rsidRPr="00DF7B09">
        <w:rPr>
          <w:i/>
          <w:iCs/>
        </w:rPr>
        <w:t>Year</w:t>
      </w:r>
      <w:r w:rsidRPr="00DF7B09">
        <w:t xml:space="preserve"> vs. </w:t>
      </w:r>
      <w:r w:rsidRPr="00DF7B09">
        <w:rPr>
          <w:i/>
          <w:iCs/>
        </w:rPr>
        <w:t>Region</w:t>
      </w:r>
      <w:r w:rsidRPr="00DF7B09">
        <w:t xml:space="preserve"> and average </w:t>
      </w:r>
      <w:r w:rsidRPr="00DF7B09">
        <w:rPr>
          <w:i/>
          <w:iCs/>
        </w:rPr>
        <w:t>CO2 Emissions</w:t>
      </w:r>
      <w:r w:rsidRPr="00DF7B09">
        <w:t>. Tableau creates a stack</w:t>
      </w:r>
      <w:r>
        <w:t xml:space="preserve"> </w:t>
      </w:r>
      <w:r w:rsidRPr="00DF7B09">
        <w:t xml:space="preserve">of </w:t>
      </w:r>
      <w:proofErr w:type="gramStart"/>
      <w:r w:rsidRPr="00DF7B09">
        <w:t>six line</w:t>
      </w:r>
      <w:proofErr w:type="gramEnd"/>
      <w:r w:rsidRPr="00DF7B09">
        <w:t xml:space="preserve"> charts (one for each Region) and, by default, all of the axes have the same range.</w:t>
      </w:r>
      <w:r>
        <w:t xml:space="preserve"> </w:t>
      </w:r>
      <w:r w:rsidRPr="00DF7B09">
        <w:t>That helps you to make absolute comparisons between the regions, but Africa’s emissions are</w:t>
      </w:r>
      <w:r>
        <w:t xml:space="preserve"> </w:t>
      </w:r>
      <w:r w:rsidRPr="00DF7B09">
        <w:t xml:space="preserve">so low you cannot see </w:t>
      </w:r>
      <w:proofErr w:type="gramStart"/>
      <w:r w:rsidRPr="00DF7B09">
        <w:t>whether or not</w:t>
      </w:r>
      <w:proofErr w:type="gramEnd"/>
      <w:r w:rsidRPr="00DF7B09">
        <w:t xml:space="preserve"> they are changing.</w:t>
      </w:r>
      <w:r>
        <w:t xml:space="preserve"> </w:t>
      </w:r>
    </w:p>
    <w:p w14:paraId="4218375A" w14:textId="4EF1C522" w:rsidR="00E7431F" w:rsidRDefault="00DF7B09" w:rsidP="00DF7B09">
      <w:r w:rsidRPr="00DF7B09">
        <w:t xml:space="preserve">Double-click within the area of any of the CO2 Emissions axes to open the </w:t>
      </w:r>
      <w:r w:rsidRPr="00DF7B09">
        <w:rPr>
          <w:i/>
          <w:iCs/>
        </w:rPr>
        <w:t xml:space="preserve">Edit Axis </w:t>
      </w:r>
      <w:r w:rsidRPr="00DF7B09">
        <w:t>dialog</w:t>
      </w:r>
      <w:r w:rsidR="00BB276E">
        <w:t xml:space="preserve"> </w:t>
      </w:r>
      <w:proofErr w:type="gramStart"/>
      <w:r w:rsidRPr="00DF7B09">
        <w:t>window, and</w:t>
      </w:r>
      <w:proofErr w:type="gramEnd"/>
      <w:r w:rsidRPr="00DF7B09">
        <w:t xml:space="preserve"> choose </w:t>
      </w:r>
      <w:r w:rsidRPr="00DF7B09">
        <w:rPr>
          <w:i/>
          <w:iCs/>
        </w:rPr>
        <w:t xml:space="preserve">Independent axis ranges for each row or column </w:t>
      </w:r>
      <w:r w:rsidRPr="00DF7B09">
        <w:t xml:space="preserve">and then </w:t>
      </w:r>
      <w:r w:rsidRPr="00DF7B09">
        <w:rPr>
          <w:i/>
          <w:iCs/>
        </w:rPr>
        <w:t>Apply</w:t>
      </w:r>
      <w:r w:rsidRPr="00DF7B09">
        <w:t>. Now</w:t>
      </w:r>
      <w:r w:rsidR="00BB276E">
        <w:t xml:space="preserve"> </w:t>
      </w:r>
      <w:r w:rsidRPr="00DF7B09">
        <w:t>you can see that Africa’s emissions are rising, like those of Asia and the Middle East (see</w:t>
      </w:r>
      <w:r w:rsidR="00BB276E">
        <w:t xml:space="preserve"> </w:t>
      </w:r>
      <w:r w:rsidRPr="00DF7B09">
        <w:t xml:space="preserve">Figure </w:t>
      </w:r>
      <w:r w:rsidR="00BB276E">
        <w:t>4</w:t>
      </w:r>
      <w:r w:rsidRPr="00DF7B09">
        <w:t>).</w:t>
      </w:r>
    </w:p>
    <w:p w14:paraId="2C249852" w14:textId="2EF6F4D9" w:rsidR="00BB276E" w:rsidRDefault="00BB276E" w:rsidP="00DF7B09">
      <w:r w:rsidRPr="00BB276E">
        <w:rPr>
          <w:noProof/>
        </w:rPr>
        <w:lastRenderedPageBreak/>
        <w:drawing>
          <wp:inline distT="0" distB="0" distL="0" distR="0" wp14:anchorId="3EB95EC2" wp14:editId="1D610B30">
            <wp:extent cx="6645910" cy="54540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5454015"/>
                    </a:xfrm>
                    <a:prstGeom prst="rect">
                      <a:avLst/>
                    </a:prstGeom>
                    <a:noFill/>
                    <a:ln>
                      <a:noFill/>
                    </a:ln>
                  </pic:spPr>
                </pic:pic>
              </a:graphicData>
            </a:graphic>
          </wp:inline>
        </w:drawing>
      </w:r>
    </w:p>
    <w:p w14:paraId="531BFC73" w14:textId="4057A4CC" w:rsidR="00BB276E" w:rsidRPr="002175D6" w:rsidRDefault="00BB276E" w:rsidP="00DF7B09">
      <w:pPr>
        <w:rPr>
          <w:i/>
          <w:iCs/>
        </w:rPr>
      </w:pPr>
      <w:r w:rsidRPr="002175D6">
        <w:rPr>
          <w:i/>
          <w:iCs/>
        </w:rPr>
        <w:t xml:space="preserve">Figure 4: </w:t>
      </w:r>
      <w:r w:rsidR="00B54C0B" w:rsidRPr="002175D6">
        <w:rPr>
          <w:i/>
          <w:iCs/>
        </w:rPr>
        <w:t>Using an independent axis range to show changes in each region’s CO2 emissions.</w:t>
      </w:r>
    </w:p>
    <w:p w14:paraId="7BE06630" w14:textId="77777777" w:rsidR="00296EED" w:rsidRDefault="00296EED" w:rsidP="000952D6"/>
    <w:p w14:paraId="7D59FBAD" w14:textId="4BA13E4A" w:rsidR="00B54C0B" w:rsidRDefault="000952D6" w:rsidP="000952D6">
      <w:r w:rsidRPr="000952D6">
        <w:t xml:space="preserve">Go back to a uniform axis range (press </w:t>
      </w:r>
      <w:r w:rsidRPr="000952D6">
        <w:rPr>
          <w:i/>
          <w:iCs/>
        </w:rPr>
        <w:t>Undo</w:t>
      </w:r>
      <w:r w:rsidRPr="000952D6">
        <w:t>) and add average Internet Usage to the Rows</w:t>
      </w:r>
      <w:r>
        <w:t xml:space="preserve"> </w:t>
      </w:r>
      <w:r w:rsidRPr="000952D6">
        <w:t xml:space="preserve">shelf. This creates a stack of </w:t>
      </w:r>
      <w:proofErr w:type="gramStart"/>
      <w:r w:rsidRPr="000952D6">
        <w:t>two line</w:t>
      </w:r>
      <w:proofErr w:type="gramEnd"/>
      <w:r w:rsidRPr="000952D6">
        <w:t xml:space="preserve"> charts for each region, which clearly displays each</w:t>
      </w:r>
      <w:r>
        <w:t xml:space="preserve"> </w:t>
      </w:r>
      <w:r w:rsidRPr="000952D6">
        <w:t xml:space="preserve">measure but requires a lot of display </w:t>
      </w:r>
      <w:r w:rsidR="00164C05">
        <w:t>area,</w:t>
      </w:r>
      <w:r w:rsidRPr="000952D6">
        <w:t xml:space="preserve"> so you will probably have to scroll the</w:t>
      </w:r>
      <w:r>
        <w:t xml:space="preserve"> </w:t>
      </w:r>
      <w:r w:rsidRPr="000952D6">
        <w:t>worksheet to see all of the charts. An alternative is to display both measures in a dual-axis</w:t>
      </w:r>
      <w:r w:rsidR="00296EED">
        <w:t xml:space="preserve"> </w:t>
      </w:r>
      <w:r w:rsidRPr="000952D6">
        <w:t xml:space="preserve">chart by selecting either </w:t>
      </w:r>
      <w:r w:rsidRPr="000952D6">
        <w:rPr>
          <w:i/>
          <w:iCs/>
        </w:rPr>
        <w:t xml:space="preserve">Dual Axis </w:t>
      </w:r>
      <w:r w:rsidRPr="000952D6">
        <w:t xml:space="preserve">from the Internet Usage pill or the </w:t>
      </w:r>
      <w:r w:rsidRPr="000952D6">
        <w:rPr>
          <w:i/>
          <w:iCs/>
        </w:rPr>
        <w:t xml:space="preserve">dual lines </w:t>
      </w:r>
      <w:r w:rsidRPr="000952D6">
        <w:t>chart type</w:t>
      </w:r>
      <w:r w:rsidR="00296EED">
        <w:t xml:space="preserve"> </w:t>
      </w:r>
      <w:r w:rsidRPr="000952D6">
        <w:t xml:space="preserve">from </w:t>
      </w:r>
      <w:r w:rsidRPr="000952D6">
        <w:rPr>
          <w:i/>
          <w:iCs/>
        </w:rPr>
        <w:t xml:space="preserve">Show Me </w:t>
      </w:r>
      <w:r w:rsidRPr="000952D6">
        <w:t xml:space="preserve">(see Figure </w:t>
      </w:r>
      <w:r w:rsidR="00296EED">
        <w:t>5</w:t>
      </w:r>
      <w:r w:rsidRPr="000952D6">
        <w:t>).</w:t>
      </w:r>
    </w:p>
    <w:p w14:paraId="30D4DFB2" w14:textId="43ADBB54" w:rsidR="001F598C" w:rsidRDefault="001F598C" w:rsidP="000952D6">
      <w:r w:rsidRPr="001F598C">
        <w:rPr>
          <w:noProof/>
        </w:rPr>
        <w:drawing>
          <wp:inline distT="0" distB="0" distL="0" distR="0" wp14:anchorId="7DB2320C" wp14:editId="64BDF62B">
            <wp:extent cx="2820205" cy="216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1197" cy="2170602"/>
                    </a:xfrm>
                    <a:prstGeom prst="rect">
                      <a:avLst/>
                    </a:prstGeom>
                    <a:noFill/>
                    <a:ln>
                      <a:noFill/>
                    </a:ln>
                  </pic:spPr>
                </pic:pic>
              </a:graphicData>
            </a:graphic>
          </wp:inline>
        </w:drawing>
      </w:r>
      <w:r>
        <w:t xml:space="preserve">  </w:t>
      </w:r>
      <w:r w:rsidR="006D71F2">
        <w:rPr>
          <w:noProof/>
        </w:rPr>
        <w:drawing>
          <wp:inline distT="0" distB="0" distL="0" distR="0" wp14:anchorId="4E309B72" wp14:editId="0B07C218">
            <wp:extent cx="3200076" cy="1943100"/>
            <wp:effectExtent l="0" t="0" r="635"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3749" cy="1945330"/>
                    </a:xfrm>
                    <a:prstGeom prst="rect">
                      <a:avLst/>
                    </a:prstGeom>
                  </pic:spPr>
                </pic:pic>
              </a:graphicData>
            </a:graphic>
          </wp:inline>
        </w:drawing>
      </w:r>
    </w:p>
    <w:p w14:paraId="7AF87096" w14:textId="09A7E8C9" w:rsidR="006D71F2" w:rsidRPr="002175D6" w:rsidRDefault="006D71F2" w:rsidP="000952D6">
      <w:pPr>
        <w:rPr>
          <w:i/>
          <w:iCs/>
        </w:rPr>
      </w:pPr>
      <w:r w:rsidRPr="002175D6">
        <w:rPr>
          <w:i/>
          <w:iCs/>
        </w:rPr>
        <w:t xml:space="preserve">Figure 5: </w:t>
      </w:r>
      <w:r w:rsidR="001D32AC" w:rsidRPr="002175D6">
        <w:rPr>
          <w:i/>
          <w:iCs/>
        </w:rPr>
        <w:t>CO2 emissions and internet usage in each region visualised using (a) stacked charts and (b) dual-axis charts.</w:t>
      </w:r>
    </w:p>
    <w:p w14:paraId="099A1EEB" w14:textId="77777777" w:rsidR="001D32AC" w:rsidRPr="00E7431F" w:rsidRDefault="001D32AC" w:rsidP="000952D6"/>
    <w:p w14:paraId="56110CE8" w14:textId="1EDF7194" w:rsidR="00341AB2" w:rsidRDefault="00B314C0" w:rsidP="00B314C0">
      <w:pPr>
        <w:pStyle w:val="Heading2"/>
      </w:pPr>
      <w:r>
        <w:t>Maps</w:t>
      </w:r>
    </w:p>
    <w:p w14:paraId="45A7E893" w14:textId="77777777" w:rsidR="006B0DF3" w:rsidRDefault="00B314C0" w:rsidP="00B314C0">
      <w:r w:rsidRPr="00B314C0">
        <w:t>Tableau can create choropleth (filled) maps, and a variety of visualizations that superimpose</w:t>
      </w:r>
      <w:r>
        <w:t xml:space="preserve"> </w:t>
      </w:r>
      <w:r w:rsidRPr="00B314C0">
        <w:t>other types of chart and networks onto a map background (see</w:t>
      </w:r>
      <w:r>
        <w:t xml:space="preserve"> h</w:t>
      </w:r>
      <w:r w:rsidRPr="00B314C0">
        <w:t xml:space="preserve">ttp://onlinehelp.tableau.com/current/pro/desktop/en-us/maps_build.html). </w:t>
      </w:r>
      <w:proofErr w:type="gramStart"/>
      <w:r w:rsidRPr="00B314C0">
        <w:t>All of</w:t>
      </w:r>
      <w:proofErr w:type="gramEnd"/>
      <w:r w:rsidRPr="00B314C0">
        <w:t xml:space="preserve"> these map</w:t>
      </w:r>
      <w:r>
        <w:t xml:space="preserve"> </w:t>
      </w:r>
      <w:r w:rsidRPr="00B314C0">
        <w:t>visualizations require geocoded data, which can be problematic.</w:t>
      </w:r>
      <w:r>
        <w:t xml:space="preserve"> </w:t>
      </w:r>
    </w:p>
    <w:p w14:paraId="55923C32" w14:textId="69CD75A4" w:rsidR="006B0DF3" w:rsidRDefault="006B0DF3" w:rsidP="006B0DF3">
      <w:r>
        <w:t xml:space="preserve">One critical factor is that the workbook locale must be set to English (United Kingdom) as otherwise, Tableau will not recognise UK geographic information. This can be found under the File menu. (This has caused some non-UK </w:t>
      </w:r>
      <w:proofErr w:type="gramStart"/>
      <w:r>
        <w:t>students</w:t>
      </w:r>
      <w:proofErr w:type="gramEnd"/>
      <w:r>
        <w:t xml:space="preserve"> problems last year, since they had Automatic (user locale) selected.)</w:t>
      </w:r>
    </w:p>
    <w:p w14:paraId="7D14F881" w14:textId="42A817DA" w:rsidR="00B314C0" w:rsidRDefault="00B314C0" w:rsidP="00B314C0">
      <w:r w:rsidRPr="00B314C0">
        <w:t xml:space="preserve">To specify that a dimension or measure is a </w:t>
      </w:r>
      <w:r w:rsidRPr="00B314C0">
        <w:rPr>
          <w:i/>
          <w:iCs/>
        </w:rPr>
        <w:t xml:space="preserve">Geographic </w:t>
      </w:r>
      <w:r w:rsidRPr="00B314C0">
        <w:t>data type (see Table 1), click on the</w:t>
      </w:r>
      <w:r>
        <w:t xml:space="preserve"> </w:t>
      </w:r>
      <w:r w:rsidRPr="00B314C0">
        <w:t xml:space="preserve">dimension/measure and select the appropriate </w:t>
      </w:r>
      <w:r w:rsidRPr="00B314C0">
        <w:rPr>
          <w:i/>
          <w:iCs/>
        </w:rPr>
        <w:t>Geographic Role</w:t>
      </w:r>
      <w:r w:rsidRPr="00B314C0">
        <w:t xml:space="preserve">. However, </w:t>
      </w:r>
      <w:r w:rsidRPr="00B314C0">
        <w:rPr>
          <w:b/>
          <w:bCs/>
        </w:rPr>
        <w:t>be warned</w:t>
      </w:r>
      <w:r>
        <w:rPr>
          <w:b/>
          <w:bCs/>
        </w:rPr>
        <w:t xml:space="preserve"> </w:t>
      </w:r>
      <w:r w:rsidR="002555C0">
        <w:t>that Tableau’s default handling</w:t>
      </w:r>
      <w:r w:rsidRPr="00B314C0">
        <w:t xml:space="preserve"> </w:t>
      </w:r>
      <w:r w:rsidR="002555C0">
        <w:t>of</w:t>
      </w:r>
      <w:r w:rsidRPr="00B314C0">
        <w:t xml:space="preserve"> UK geography</w:t>
      </w:r>
      <w:r w:rsidR="002555C0">
        <w:t xml:space="preserve"> is incomplete/flawed</w:t>
      </w:r>
      <w:r w:rsidRPr="00B314C0">
        <w:t>:</w:t>
      </w:r>
    </w:p>
    <w:p w14:paraId="25E1FF7B" w14:textId="430816DE" w:rsidR="00FE48EA" w:rsidRPr="00FE48EA" w:rsidRDefault="00FE48EA" w:rsidP="00FE48EA">
      <w:pPr>
        <w:pStyle w:val="ListBullet"/>
      </w:pPr>
      <w:r w:rsidRPr="00FE48EA">
        <w:t>Metropolitan counties are missing (e.g., West Yorkshire) because Tableau uses the</w:t>
      </w:r>
      <w:r>
        <w:t xml:space="preserve"> </w:t>
      </w:r>
      <w:r w:rsidRPr="00FE48EA">
        <w:t>Metropolitan Boroughs instead (Bradford, Calderdale, Kirklees, Leeds &amp; Wakefield).</w:t>
      </w:r>
    </w:p>
    <w:p w14:paraId="03001A32" w14:textId="40797A67" w:rsidR="00B314C0" w:rsidRDefault="00FE48EA" w:rsidP="00FE48EA">
      <w:pPr>
        <w:pStyle w:val="ListBullet"/>
      </w:pPr>
      <w:r w:rsidRPr="00FE48EA">
        <w:t xml:space="preserve">Tableau only recognises the first segment of a postcode (the </w:t>
      </w:r>
      <w:proofErr w:type="spellStart"/>
      <w:r w:rsidRPr="00FE48EA">
        <w:rPr>
          <w:i/>
          <w:iCs/>
        </w:rPr>
        <w:t>outcode</w:t>
      </w:r>
      <w:proofErr w:type="spellEnd"/>
      <w:r w:rsidRPr="00FE48EA">
        <w:t>, e.g., LS2) not</w:t>
      </w:r>
      <w:r>
        <w:t xml:space="preserve"> </w:t>
      </w:r>
      <w:r w:rsidRPr="00FE48EA">
        <w:t>the whole postcode (e.g., LS2 9JT).</w:t>
      </w:r>
    </w:p>
    <w:p w14:paraId="0898FA58" w14:textId="77777777" w:rsidR="00083925" w:rsidRDefault="00083925" w:rsidP="00083925">
      <w:r>
        <w:t>To experience these problems first-hand:</w:t>
      </w:r>
    </w:p>
    <w:p w14:paraId="6FC8C21B" w14:textId="7DC155D4" w:rsidR="00083925" w:rsidRDefault="00A8163F" w:rsidP="00083925">
      <w:pPr>
        <w:pStyle w:val="ListBullet"/>
      </w:pPr>
      <w:r>
        <w:t xml:space="preserve">Download the </w:t>
      </w:r>
      <w:r w:rsidR="00083925">
        <w:t>“GP surgeries in Yorkshire.xlsx” spreadsheet</w:t>
      </w:r>
      <w:r w:rsidR="006F4B9B">
        <w:t xml:space="preserve"> from Blackboard and save it in a convenient directory</w:t>
      </w:r>
      <w:r w:rsidR="00083925">
        <w:t>.</w:t>
      </w:r>
    </w:p>
    <w:p w14:paraId="03CB723C" w14:textId="67A0A78E" w:rsidR="00083925" w:rsidRDefault="00083925" w:rsidP="00083925">
      <w:pPr>
        <w:pStyle w:val="ListBullet"/>
      </w:pPr>
      <w:r>
        <w:t>Choose the “County and Postcode” sheet</w:t>
      </w:r>
    </w:p>
    <w:p w14:paraId="2EEA14FB" w14:textId="1EB3BFC4" w:rsidR="00083925" w:rsidRDefault="00083925" w:rsidP="00083925">
      <w:pPr>
        <w:pStyle w:val="ListBullet"/>
      </w:pPr>
      <w:r>
        <w:t>In a worksheet, double-click on County and notice that</w:t>
      </w:r>
    </w:p>
    <w:p w14:paraId="6533A8F7" w14:textId="4EA6DC28" w:rsidR="00083925" w:rsidRDefault="00083925" w:rsidP="00083925">
      <w:pPr>
        <w:pStyle w:val="ListBullet2"/>
      </w:pPr>
      <w:r>
        <w:t>No boundaries are displayed</w:t>
      </w:r>
    </w:p>
    <w:p w14:paraId="53B622EF" w14:textId="549A8D05" w:rsidR="00083925" w:rsidRDefault="00083925" w:rsidP="00083925">
      <w:pPr>
        <w:pStyle w:val="ListBullet2"/>
      </w:pPr>
      <w:r>
        <w:t>There are three labelled points on the map</w:t>
      </w:r>
    </w:p>
    <w:p w14:paraId="4624A8AB" w14:textId="1D53241E" w:rsidR="00083925" w:rsidRDefault="00083925" w:rsidP="00B95E93">
      <w:pPr>
        <w:pStyle w:val="ListBullet"/>
      </w:pPr>
      <w:r>
        <w:t xml:space="preserve">Double-click on Postcode – full and notice that nothing is filled on the map </w:t>
      </w:r>
      <w:r w:rsidR="00B95E93">
        <w:t>(pause while the new view is computed).</w:t>
      </w:r>
      <w:r w:rsidR="00173B17">
        <w:t xml:space="preserve"> All that changes is that the variable is included on details and </w:t>
      </w:r>
      <w:r w:rsidR="001A2946">
        <w:t>that the tooltips on the map for each region now give a single postcode.</w:t>
      </w:r>
      <w:r w:rsidR="00C27B8A">
        <w:t xml:space="preserve"> Remove the </w:t>
      </w:r>
      <w:r w:rsidR="00123B63">
        <w:t>pill from the marks.</w:t>
      </w:r>
    </w:p>
    <w:p w14:paraId="04E272F6" w14:textId="3A0CD5A8" w:rsidR="009D458B" w:rsidRDefault="003E4B1B" w:rsidP="00A8163F">
      <w:r>
        <w:t>In Tableau, y</w:t>
      </w:r>
      <w:r w:rsidR="009D458B" w:rsidRPr="009D458B">
        <w:t xml:space="preserve">ou can double-click fields to quickly add them to </w:t>
      </w:r>
      <w:r>
        <w:t>a</w:t>
      </w:r>
      <w:r w:rsidR="009D458B" w:rsidRPr="009D458B">
        <w:t xml:space="preserve"> view. When you double-click a geographic field specifically, it's automatically added to Detail on the Marks card, and a map view is created with marks</w:t>
      </w:r>
      <w:r w:rsidR="009D458B">
        <w:t xml:space="preserve"> </w:t>
      </w:r>
      <w:r w:rsidR="009D458B" w:rsidRPr="009D458B">
        <w:t>for each location listed in the field.</w:t>
      </w:r>
      <w:r w:rsidR="009D458B">
        <w:t xml:space="preserve"> </w:t>
      </w:r>
    </w:p>
    <w:p w14:paraId="298D4FF6" w14:textId="031311AD" w:rsidR="00B92A53" w:rsidRPr="00EE7004" w:rsidRDefault="00A8163F" w:rsidP="00B92A53">
      <w:pPr>
        <w:rPr>
          <w:rFonts w:cs="Arial"/>
        </w:rPr>
      </w:pPr>
      <w:r>
        <w:t xml:space="preserve">Fortunately, Tableau can create maps from spatial files </w:t>
      </w:r>
      <w:r w:rsidR="00B92A53">
        <w:t>and people have created workarounds for some of the deficiencies of the built-in geographic knowledge.</w:t>
      </w:r>
    </w:p>
    <w:p w14:paraId="187D2E5B" w14:textId="3CA90D3A" w:rsidR="005C1C80" w:rsidRDefault="001F33D0" w:rsidP="007668FB">
      <w:pPr>
        <w:pStyle w:val="Heading1"/>
      </w:pPr>
      <w:r>
        <w:t>Maps (again)</w:t>
      </w:r>
    </w:p>
    <w:p w14:paraId="32145346" w14:textId="77777777" w:rsidR="001A112F" w:rsidRDefault="001A112F" w:rsidP="001A112F">
      <w:r>
        <w:t xml:space="preserve">We are going to work again at maps in Tableau and concentrate on some of the additional challenges that UK (rather than US) data presents. </w:t>
      </w:r>
    </w:p>
    <w:p w14:paraId="2A9264E9" w14:textId="77777777" w:rsidR="001A112F" w:rsidRDefault="001A112F" w:rsidP="001A112F">
      <w:r>
        <w:t>Two key principles of Tableau mapping on UK data:</w:t>
      </w:r>
    </w:p>
    <w:p w14:paraId="4D3611BD" w14:textId="77777777" w:rsidR="001A112F" w:rsidRPr="00592CDF" w:rsidRDefault="001A112F" w:rsidP="001A112F">
      <w:pPr>
        <w:pStyle w:val="ListNumber"/>
      </w:pPr>
      <w:r w:rsidRPr="00592CDF">
        <w:t>Tableau doesn’t always immediately understand when a field represents a geographical location. You may need to tell Tableau that the data is geographical, and that it relates to the UK.</w:t>
      </w:r>
    </w:p>
    <w:p w14:paraId="2E536A5C" w14:textId="77777777" w:rsidR="001A112F" w:rsidRPr="00592CDF" w:rsidRDefault="001A112F" w:rsidP="001A112F">
      <w:pPr>
        <w:pStyle w:val="ListNumber"/>
      </w:pPr>
      <w:r w:rsidRPr="00592CDF">
        <w:t xml:space="preserve">Tableau doesn’t work directly with full postcodes, </w:t>
      </w:r>
      <w:proofErr w:type="gramStart"/>
      <w:r w:rsidRPr="00592CDF">
        <w:t>e.g.</w:t>
      </w:r>
      <w:proofErr w:type="gramEnd"/>
      <w:r w:rsidRPr="00592CDF">
        <w:t> SW1A 1AA; but it inherently understands the </w:t>
      </w:r>
      <w:r w:rsidRPr="00592CDF">
        <w:rPr>
          <w:i/>
          <w:iCs/>
        </w:rPr>
        <w:t>postal sector</w:t>
      </w:r>
      <w:r>
        <w:rPr>
          <w:i/>
          <w:iCs/>
        </w:rPr>
        <w:t xml:space="preserve"> </w:t>
      </w:r>
      <w:r w:rsidRPr="00592CDF">
        <w:t>or</w:t>
      </w:r>
      <w:r>
        <w:rPr>
          <w:i/>
          <w:iCs/>
        </w:rPr>
        <w:t xml:space="preserve"> </w:t>
      </w:r>
      <w:proofErr w:type="spellStart"/>
      <w:r>
        <w:rPr>
          <w:i/>
          <w:iCs/>
        </w:rPr>
        <w:t>outcode</w:t>
      </w:r>
      <w:proofErr w:type="spellEnd"/>
      <w:r w:rsidRPr="00592CDF">
        <w:t xml:space="preserve">, e.g. SW1A. You can pre-transform the </w:t>
      </w:r>
      <w:proofErr w:type="gramStart"/>
      <w:r w:rsidRPr="00592CDF">
        <w:t>data, or</w:t>
      </w:r>
      <w:proofErr w:type="gramEnd"/>
      <w:r w:rsidRPr="00592CDF">
        <w:t xml:space="preserve"> create a calculated field to strip out only the postal sector (</w:t>
      </w:r>
      <w:r>
        <w:t>Calculated fields</w:t>
      </w:r>
      <w:r w:rsidRPr="00592CDF">
        <w:t xml:space="preserve"> will be covered in </w:t>
      </w:r>
      <w:r>
        <w:t>a later worksheet</w:t>
      </w:r>
      <w:r w:rsidRPr="00592CDF">
        <w:t>)</w:t>
      </w:r>
      <w:r>
        <w:t>.</w:t>
      </w:r>
    </w:p>
    <w:p w14:paraId="51241813" w14:textId="77777777" w:rsidR="001A112F" w:rsidRDefault="001A112F" w:rsidP="001A112F">
      <w:pPr>
        <w:pStyle w:val="Heading2"/>
      </w:pPr>
      <w:r>
        <w:t>Cities and towns</w:t>
      </w:r>
    </w:p>
    <w:p w14:paraId="70BC63C5" w14:textId="77777777" w:rsidR="001A112F" w:rsidRDefault="001A112F" w:rsidP="001A112F">
      <w:r w:rsidRPr="00E17F3F">
        <w:t>Tableau has inbuilt ‘understanding’ of around 750 towns and cities in the UK. It refers to these all as cities. While every self-respecting British citizen knows of course that city status is complex and historical and often requires a cathedral, the American-born Tableau doesn’t care about this distinction.</w:t>
      </w:r>
      <w:r>
        <w:t xml:space="preserve"> </w:t>
      </w:r>
      <w:r w:rsidRPr="00E17F3F">
        <w:t xml:space="preserve">Cities are represented as a single location, so can be mapped as a point but not as an area. England, Scotland, </w:t>
      </w:r>
      <w:proofErr w:type="gramStart"/>
      <w:r w:rsidRPr="00E17F3F">
        <w:t>Wales</w:t>
      </w:r>
      <w:proofErr w:type="gramEnd"/>
      <w:r w:rsidRPr="00E17F3F">
        <w:t xml:space="preserve"> and Northern Ireland are all covered</w:t>
      </w:r>
      <w:r>
        <w:t>.</w:t>
      </w:r>
    </w:p>
    <w:p w14:paraId="064C78BA" w14:textId="0921B3E2" w:rsidR="001A112F" w:rsidRDefault="001A112F" w:rsidP="001A112F">
      <w:r>
        <w:t xml:space="preserve">Download the </w:t>
      </w:r>
      <w:proofErr w:type="spellStart"/>
      <w:r>
        <w:t>housePrices</w:t>
      </w:r>
      <w:proofErr w:type="spellEnd"/>
      <w:r>
        <w:t xml:space="preserve"> dataset from Blackboard and open it in Tableau. Create a new worksheet.</w:t>
      </w:r>
    </w:p>
    <w:p w14:paraId="3EC02A4C" w14:textId="456FAFED" w:rsidR="001A112F" w:rsidRDefault="001A112F" w:rsidP="001A112F">
      <w:r w:rsidRPr="002B63BB">
        <w:t xml:space="preserve">The </w:t>
      </w:r>
      <w:r w:rsidR="00BA17FD">
        <w:rPr>
          <w:i/>
          <w:iCs/>
        </w:rPr>
        <w:t>Location</w:t>
      </w:r>
      <w:r w:rsidRPr="002B63BB">
        <w:t xml:space="preserve"> field has not been recognised by Tableau as having a geographical role; it is being treated as normal string datatype.</w:t>
      </w:r>
      <w:r>
        <w:t xml:space="preserve"> You can see this because it is preceded by the marker </w:t>
      </w:r>
      <w:proofErr w:type="spellStart"/>
      <w:r>
        <w:t>Abc</w:t>
      </w:r>
      <w:proofErr w:type="spellEnd"/>
      <w:r>
        <w:t xml:space="preserve"> which denotes a text </w:t>
      </w:r>
      <w:r>
        <w:lastRenderedPageBreak/>
        <w:t>variable</w:t>
      </w:r>
      <w:r w:rsidR="001538F9">
        <w:t xml:space="preserve">. </w:t>
      </w:r>
      <w:r w:rsidRPr="002B63BB">
        <w:t>If the field had originally been named ‘City’ or ‘Town’ or similar, Tableau would have identified it as geographic automatically.</w:t>
      </w:r>
    </w:p>
    <w:p w14:paraId="6D237E52" w14:textId="735360A8" w:rsidR="001A112F" w:rsidRDefault="001A112F" w:rsidP="001A112F">
      <w:r>
        <w:t>So now g</w:t>
      </w:r>
      <w:r w:rsidRPr="0042336D">
        <w:t xml:space="preserve">ive the </w:t>
      </w:r>
      <w:r w:rsidR="00BA17FD">
        <w:rPr>
          <w:i/>
          <w:iCs/>
        </w:rPr>
        <w:t>Location</w:t>
      </w:r>
      <w:r w:rsidRPr="0042336D">
        <w:t xml:space="preserve"> field a geographical context. Right click on the field, hover over ‘geographical role’ and click on ‘City’. The icon next to the field will change to a globe, representing the geographical datatype</w:t>
      </w:r>
      <w:r>
        <w:rPr>
          <w:rStyle w:val="FootnoteReference"/>
        </w:rPr>
        <w:footnoteReference w:id="1"/>
      </w:r>
      <w:r w:rsidRPr="0042336D">
        <w:t>.</w:t>
      </w:r>
      <w:r>
        <w:t xml:space="preserve"> </w:t>
      </w:r>
    </w:p>
    <w:p w14:paraId="05B21265" w14:textId="3A4A21E1" w:rsidR="001A112F" w:rsidRDefault="001A112F" w:rsidP="001A112F">
      <w:r>
        <w:t xml:space="preserve">Note that in the </w:t>
      </w:r>
      <w:proofErr w:type="spellStart"/>
      <w:r>
        <w:t>ShowMe</w:t>
      </w:r>
      <w:proofErr w:type="spellEnd"/>
      <w:r>
        <w:t xml:space="preserve"> palette, maps and symbol maps are the only two types of </w:t>
      </w:r>
      <w:proofErr w:type="gramStart"/>
      <w:r>
        <w:t>visualisation</w:t>
      </w:r>
      <w:proofErr w:type="gramEnd"/>
      <w:r>
        <w:t xml:space="preserve"> available. If you now click on the symbol map option, a simple graph of the UK is produced with the towns contained in the dataset shown as points. The longitude and latitude are generated as columns and rows (because Tableau knows the locations of all the towns in the UK), and the detail is the </w:t>
      </w:r>
      <w:r w:rsidRPr="00DE15A2">
        <w:rPr>
          <w:i/>
          <w:iCs/>
        </w:rPr>
        <w:t>Location</w:t>
      </w:r>
      <w:r>
        <w:t xml:space="preserve"> field (which can be seen when hovering over the points). Note that the dataset only includes some towns in </w:t>
      </w:r>
      <w:r w:rsidR="00F729F3">
        <w:t>the UK</w:t>
      </w:r>
      <w:r w:rsidR="00E833A6">
        <w:t xml:space="preserve"> and two in Wales (none in Northern Ireland or Scotland)</w:t>
      </w:r>
      <w:r>
        <w:t>.</w:t>
      </w:r>
    </w:p>
    <w:p w14:paraId="1B7850E2" w14:textId="77777777" w:rsidR="001A112F" w:rsidRDefault="001A112F" w:rsidP="001A112F">
      <w:r>
        <w:rPr>
          <w:noProof/>
        </w:rPr>
        <w:drawing>
          <wp:inline distT="0" distB="0" distL="0" distR="0" wp14:anchorId="75D93FB1" wp14:editId="2A6D64B6">
            <wp:extent cx="6645910" cy="3138170"/>
            <wp:effectExtent l="0" t="0" r="2540" b="5080"/>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p>
    <w:p w14:paraId="71C3BDAC" w14:textId="0906FD39" w:rsidR="001A112F" w:rsidRPr="002769FD" w:rsidRDefault="001A112F" w:rsidP="001A112F">
      <w:pPr>
        <w:rPr>
          <w:i/>
          <w:iCs/>
        </w:rPr>
      </w:pPr>
      <w:r w:rsidRPr="002769FD">
        <w:rPr>
          <w:i/>
          <w:iCs/>
        </w:rPr>
        <w:t xml:space="preserve">Figure </w:t>
      </w:r>
      <w:r w:rsidR="002175D6">
        <w:rPr>
          <w:i/>
          <w:iCs/>
        </w:rPr>
        <w:t>6</w:t>
      </w:r>
      <w:r w:rsidRPr="002769FD">
        <w:rPr>
          <w:i/>
          <w:iCs/>
        </w:rPr>
        <w:t>: location of towns in dataset.</w:t>
      </w:r>
    </w:p>
    <w:p w14:paraId="7D506BF0" w14:textId="28EF5CAD" w:rsidR="001A112F" w:rsidRDefault="001A112F" w:rsidP="001A112F">
      <w:r>
        <w:t xml:space="preserve">To start the process of understanding the price movements, drag the measure </w:t>
      </w:r>
      <w:r w:rsidRPr="00995702">
        <w:rPr>
          <w:i/>
          <w:iCs/>
        </w:rPr>
        <w:t>Median Price</w:t>
      </w:r>
      <w:r>
        <w:t xml:space="preserve"> to the size shelf and the measure </w:t>
      </w:r>
      <w:proofErr w:type="spellStart"/>
      <w:r w:rsidRPr="00995702">
        <w:rPr>
          <w:i/>
          <w:iCs/>
        </w:rPr>
        <w:t>Chg</w:t>
      </w:r>
      <w:proofErr w:type="spellEnd"/>
      <w:r w:rsidRPr="00995702">
        <w:rPr>
          <w:i/>
          <w:iCs/>
        </w:rPr>
        <w:t xml:space="preserve"> 5yr</w:t>
      </w:r>
      <w:r>
        <w:t xml:space="preserve"> (percentage change in house prices) to the colour shelf. Figure 8 shows the result. </w:t>
      </w:r>
      <w:r w:rsidRPr="00A257BC">
        <w:t xml:space="preserve">The cities with negative growth are now immediately obvious as the orange points. We can see that Cardiff and parts of the </w:t>
      </w:r>
      <w:proofErr w:type="gramStart"/>
      <w:r w:rsidR="004726D6">
        <w:t>N</w:t>
      </w:r>
      <w:r w:rsidRPr="00A257BC">
        <w:t xml:space="preserve">orth </w:t>
      </w:r>
      <w:r w:rsidR="004726D6">
        <w:t>W</w:t>
      </w:r>
      <w:r w:rsidRPr="00A257BC">
        <w:t>est</w:t>
      </w:r>
      <w:proofErr w:type="gramEnd"/>
      <w:r w:rsidRPr="00A257BC">
        <w:t xml:space="preserve"> saw negative growth; the </w:t>
      </w:r>
      <w:r w:rsidR="004726D6">
        <w:t>M</w:t>
      </w:r>
      <w:r w:rsidRPr="00A257BC">
        <w:t xml:space="preserve">idlands and much of the </w:t>
      </w:r>
      <w:r w:rsidR="004726D6">
        <w:t>N</w:t>
      </w:r>
      <w:r w:rsidRPr="00A257BC">
        <w:t xml:space="preserve">orth was moderately positive, and parts of the </w:t>
      </w:r>
      <w:r w:rsidR="004726D6">
        <w:t>S</w:t>
      </w:r>
      <w:r w:rsidRPr="00A257BC">
        <w:t>outh-</w:t>
      </w:r>
      <w:r w:rsidR="004726D6">
        <w:t>E</w:t>
      </w:r>
      <w:r w:rsidRPr="00A257BC">
        <w:t>ast and London saw the strongest growth.</w:t>
      </w:r>
    </w:p>
    <w:p w14:paraId="1149CB27" w14:textId="77777777" w:rsidR="001A112F" w:rsidRDefault="001A112F" w:rsidP="001A112F">
      <w:r>
        <w:rPr>
          <w:noProof/>
        </w:rPr>
        <w:lastRenderedPageBreak/>
        <w:drawing>
          <wp:inline distT="0" distB="0" distL="0" distR="0" wp14:anchorId="41BD53E3" wp14:editId="17480708">
            <wp:extent cx="6645910" cy="4138930"/>
            <wp:effectExtent l="0" t="0" r="2540" b="0"/>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4138930"/>
                    </a:xfrm>
                    <a:prstGeom prst="rect">
                      <a:avLst/>
                    </a:prstGeom>
                  </pic:spPr>
                </pic:pic>
              </a:graphicData>
            </a:graphic>
          </wp:inline>
        </w:drawing>
      </w:r>
    </w:p>
    <w:p w14:paraId="57035F79" w14:textId="1E52E492" w:rsidR="001A112F" w:rsidRDefault="001A112F" w:rsidP="001A112F">
      <w:pPr>
        <w:rPr>
          <w:i/>
          <w:iCs/>
        </w:rPr>
      </w:pPr>
      <w:r w:rsidRPr="00716132">
        <w:rPr>
          <w:i/>
          <w:iCs/>
        </w:rPr>
        <w:t xml:space="preserve">Figure </w:t>
      </w:r>
      <w:r w:rsidR="002175D6">
        <w:rPr>
          <w:i/>
          <w:iCs/>
        </w:rPr>
        <w:t>7</w:t>
      </w:r>
      <w:r w:rsidRPr="00716132">
        <w:rPr>
          <w:i/>
          <w:iCs/>
        </w:rPr>
        <w:t>: price as size, change as colour.</w:t>
      </w:r>
    </w:p>
    <w:p w14:paraId="377289A9" w14:textId="0A089842" w:rsidR="001A112F" w:rsidRDefault="001A112F" w:rsidP="001A112F">
      <w:r>
        <w:t xml:space="preserve">You can make the map less </w:t>
      </w:r>
      <w:proofErr w:type="spellStart"/>
      <w:r>
        <w:t>gray</w:t>
      </w:r>
      <w:proofErr w:type="spellEnd"/>
      <w:r>
        <w:t xml:space="preserve"> by experimenting with the background. </w:t>
      </w:r>
      <w:r w:rsidRPr="00511BB2">
        <w:t xml:space="preserve">Click on the Map menu, then ‘Map Layers…’ and try playing around with </w:t>
      </w:r>
      <w:r>
        <w:t xml:space="preserve">the layers, </w:t>
      </w:r>
      <w:proofErr w:type="gramStart"/>
      <w:r w:rsidRPr="00511BB2">
        <w:t>style</w:t>
      </w:r>
      <w:proofErr w:type="gramEnd"/>
      <w:r w:rsidRPr="00511BB2">
        <w:t xml:space="preserve"> and washout until you </w:t>
      </w:r>
      <w:r>
        <w:t>get something that appeals to you</w:t>
      </w:r>
      <w:r w:rsidRPr="00511BB2">
        <w:t>.</w:t>
      </w:r>
      <w:r>
        <w:t xml:space="preserve"> A</w:t>
      </w:r>
      <w:r w:rsidRPr="00725EBC">
        <w:t>dding roads as a map layer often helps people identify locations more easily, and this is even more true when we are zoomed in to a single city – the network of roads typically converging on the centre or circling around it acts as a reference base. Place names can be helpful but can also be obscured by points in a busy dataset. Try to avoid crowding the background layer with too much information or too great a depth of colour, as the actual data points will lose clarity.</w:t>
      </w:r>
    </w:p>
    <w:p w14:paraId="4017F707" w14:textId="77777777" w:rsidR="001A112F" w:rsidRDefault="001A112F" w:rsidP="001A112F">
      <w:pPr>
        <w:pStyle w:val="Heading2"/>
      </w:pPr>
      <w:r>
        <w:t>Postcodes</w:t>
      </w:r>
    </w:p>
    <w:p w14:paraId="726CB130" w14:textId="098E96E7" w:rsidR="001A112F" w:rsidRDefault="001A112F" w:rsidP="001A112F">
      <w:r>
        <w:t>This exercise</w:t>
      </w:r>
      <w:r>
        <w:rPr>
          <w:rStyle w:val="FootnoteReference"/>
        </w:rPr>
        <w:footnoteReference w:id="2"/>
      </w:r>
      <w:r>
        <w:t xml:space="preserve"> uses a large extract of house price data from London. Close your old worksheets, download the Excel spreadsheet London Housing Data Extract from </w:t>
      </w:r>
      <w:proofErr w:type="gramStart"/>
      <w:r>
        <w:t>Blackboard</w:t>
      </w:r>
      <w:proofErr w:type="gramEnd"/>
      <w:r>
        <w:t xml:space="preserve"> and load it into Tableau (this may take up to a minute since it is a big file).</w:t>
      </w:r>
      <w:r w:rsidR="00693FCF">
        <w:t xml:space="preserve"> Have a look at the Excel file to familiarise yourself with the variables and data types.</w:t>
      </w:r>
    </w:p>
    <w:p w14:paraId="4ED682FC" w14:textId="77777777" w:rsidR="001A112F" w:rsidRDefault="001A112F" w:rsidP="001A112F">
      <w:r>
        <w:t xml:space="preserve">You should see a list of attributes and values beneath. The eighth column is labelled </w:t>
      </w:r>
      <w:proofErr w:type="spellStart"/>
      <w:r w:rsidRPr="006013B3">
        <w:rPr>
          <w:i/>
          <w:iCs/>
        </w:rPr>
        <w:t>Outcode</w:t>
      </w:r>
      <w:proofErr w:type="spellEnd"/>
      <w:r>
        <w:t xml:space="preserve"> (and is of text type) while the ninth column is labelled </w:t>
      </w:r>
      <w:r w:rsidRPr="006013B3">
        <w:rPr>
          <w:i/>
          <w:iCs/>
        </w:rPr>
        <w:t>Postcode</w:t>
      </w:r>
      <w:r>
        <w:t xml:space="preserve"> (and is of geographic type). This might seem strange, since Tableau can interpret </w:t>
      </w:r>
      <w:proofErr w:type="spellStart"/>
      <w:r>
        <w:t>outcodes</w:t>
      </w:r>
      <w:proofErr w:type="spellEnd"/>
      <w:r>
        <w:t xml:space="preserve"> and not full postcodes.</w:t>
      </w:r>
    </w:p>
    <w:p w14:paraId="166BE3D4" w14:textId="3247C281" w:rsidR="001A112F" w:rsidRDefault="001A112F" w:rsidP="001A112F">
      <w:r>
        <w:t xml:space="preserve">Now click on Sheet 1. To make life simpler (and this exercise quicker), we will take an extract of the data. Right-click on the data icon and select </w:t>
      </w:r>
      <w:r w:rsidRPr="001A405E">
        <w:rPr>
          <w:i/>
          <w:iCs/>
        </w:rPr>
        <w:t>Extract data</w:t>
      </w:r>
      <w:r>
        <w:t xml:space="preserve">. Leave the defaults in place and click the </w:t>
      </w:r>
      <w:r w:rsidRPr="001A405E">
        <w:rPr>
          <w:i/>
          <w:iCs/>
        </w:rPr>
        <w:t>Extract</w:t>
      </w:r>
      <w:r>
        <w:t xml:space="preserve"> button</w:t>
      </w:r>
      <w:r w:rsidR="00327A6C">
        <w:t xml:space="preserve"> and save the file</w:t>
      </w:r>
      <w:r>
        <w:t>. The Tableau interface changes slightly to remind you that this is a data extract (see Figure 9).</w:t>
      </w:r>
    </w:p>
    <w:p w14:paraId="440FED2B" w14:textId="52E4FD26" w:rsidR="001A112F" w:rsidRDefault="001A112F" w:rsidP="001A112F">
      <w:r>
        <w:t xml:space="preserve">Now we want to visualise this data. As noted above </w:t>
      </w:r>
      <w:r w:rsidRPr="007713F1">
        <w:rPr>
          <w:i/>
          <w:iCs/>
        </w:rPr>
        <w:t>Postcode</w:t>
      </w:r>
      <w:r>
        <w:t xml:space="preserve"> (and </w:t>
      </w:r>
      <w:r w:rsidRPr="007713F1">
        <w:rPr>
          <w:i/>
          <w:iCs/>
        </w:rPr>
        <w:t>Postcode Area</w:t>
      </w:r>
      <w:r>
        <w:t xml:space="preserve">) are the only two variables with geographic type. If you double-click on </w:t>
      </w:r>
      <w:r w:rsidRPr="007D024C">
        <w:rPr>
          <w:i/>
          <w:iCs/>
        </w:rPr>
        <w:t>Postcode</w:t>
      </w:r>
      <w:r>
        <w:t>, Tableau tries to create a meaningful map, but all you will see is the world map with no information plotted on it.</w:t>
      </w:r>
      <w:r w:rsidR="00272CF3">
        <w:t xml:space="preserve"> In the bottom </w:t>
      </w:r>
      <w:proofErr w:type="gramStart"/>
      <w:r w:rsidR="00272CF3">
        <w:t>right hand</w:t>
      </w:r>
      <w:proofErr w:type="gramEnd"/>
      <w:r w:rsidR="00272CF3">
        <w:t xml:space="preserve"> corner is a grey box stating &gt;48K unknown.</w:t>
      </w:r>
      <w:r>
        <w:t xml:space="preserve"> Clearly this is a failure.</w:t>
      </w:r>
    </w:p>
    <w:p w14:paraId="320A6A75" w14:textId="77777777" w:rsidR="001A112F" w:rsidRDefault="001A112F" w:rsidP="001A112F">
      <w:pPr>
        <w:jc w:val="center"/>
      </w:pPr>
      <w:r>
        <w:rPr>
          <w:noProof/>
        </w:rPr>
        <w:lastRenderedPageBreak/>
        <w:drawing>
          <wp:inline distT="0" distB="0" distL="0" distR="0" wp14:anchorId="41427009" wp14:editId="2CD0D09A">
            <wp:extent cx="2028825" cy="1733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28825" cy="1733550"/>
                    </a:xfrm>
                    <a:prstGeom prst="rect">
                      <a:avLst/>
                    </a:prstGeom>
                  </pic:spPr>
                </pic:pic>
              </a:graphicData>
            </a:graphic>
          </wp:inline>
        </w:drawing>
      </w:r>
    </w:p>
    <w:p w14:paraId="54A2CA31" w14:textId="77777777" w:rsidR="001A112F" w:rsidRPr="00272CF3" w:rsidRDefault="001A112F" w:rsidP="001A112F">
      <w:r w:rsidRPr="00272CF3">
        <w:t>Figure 9: change in icon for data – two linked drums denote a data extract.</w:t>
      </w:r>
    </w:p>
    <w:p w14:paraId="0433A2C7" w14:textId="77777777" w:rsidR="001A112F" w:rsidRDefault="001A112F" w:rsidP="001A112F">
      <w:r>
        <w:t xml:space="preserve">Click on the undo arrow and then try double-clicking the Postcode Area attribute. You should get the same result. Undo it again. If you click on </w:t>
      </w:r>
      <w:proofErr w:type="spellStart"/>
      <w:r>
        <w:t>Outcode</w:t>
      </w:r>
      <w:proofErr w:type="spellEnd"/>
      <w:r>
        <w:t xml:space="preserve"> and select Describe from the drop-down menu, you will see a definition of the field with some sample values: E1, E10 etc. These are the first part of the postcode and are the values we want to work with. Now close the pop-up window.</w:t>
      </w:r>
    </w:p>
    <w:p w14:paraId="4BF87220" w14:textId="1B24A191" w:rsidR="001A112F" w:rsidRDefault="001A112F" w:rsidP="001A112F">
      <w:r>
        <w:t xml:space="preserve">To fix this, we </w:t>
      </w:r>
      <w:proofErr w:type="gramStart"/>
      <w:r>
        <w:t>have to</w:t>
      </w:r>
      <w:proofErr w:type="gramEnd"/>
      <w:r>
        <w:t xml:space="preserve"> assign the right geographic role to the field. This role is Zip</w:t>
      </w:r>
      <w:r w:rsidR="0061521F">
        <w:t xml:space="preserve"> Code</w:t>
      </w:r>
      <w:r>
        <w:t>/Postcode (unsurprisingly</w:t>
      </w:r>
      <w:proofErr w:type="gramStart"/>
      <w:r>
        <w:t>)</w:t>
      </w:r>
      <w:proofErr w:type="gramEnd"/>
      <w:r>
        <w:t xml:space="preserve"> and this can be achieved through the same context menu as before. Now double-click on </w:t>
      </w:r>
      <w:proofErr w:type="spellStart"/>
      <w:r>
        <w:t>Outcode</w:t>
      </w:r>
      <w:proofErr w:type="spellEnd"/>
      <w:r>
        <w:t xml:space="preserve">, and you should see something like Figure 10. Again, Tableau has automatically generated the correct longitude and latitude of the </w:t>
      </w:r>
      <w:proofErr w:type="spellStart"/>
      <w:r>
        <w:t>outcode</w:t>
      </w:r>
      <w:proofErr w:type="spellEnd"/>
      <w:r>
        <w:t xml:space="preserve"> centroid because of its understanding of </w:t>
      </w:r>
      <w:proofErr w:type="spellStart"/>
      <w:r>
        <w:t>outcodes</w:t>
      </w:r>
      <w:proofErr w:type="spellEnd"/>
      <w:r>
        <w:t xml:space="preserve"> (all the information is stored in an internal database).</w:t>
      </w:r>
    </w:p>
    <w:p w14:paraId="153F1A8E" w14:textId="77777777" w:rsidR="001A112F" w:rsidRDefault="001A112F" w:rsidP="001A112F">
      <w:pPr>
        <w:jc w:val="center"/>
      </w:pPr>
      <w:r>
        <w:rPr>
          <w:i/>
          <w:iCs/>
          <w:noProof/>
        </w:rPr>
        <w:drawing>
          <wp:inline distT="0" distB="0" distL="0" distR="0" wp14:anchorId="61DF7AC9" wp14:editId="55765EDD">
            <wp:extent cx="6645910" cy="2939415"/>
            <wp:effectExtent l="0" t="0" r="254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2939415"/>
                    </a:xfrm>
                    <a:prstGeom prst="rect">
                      <a:avLst/>
                    </a:prstGeom>
                  </pic:spPr>
                </pic:pic>
              </a:graphicData>
            </a:graphic>
          </wp:inline>
        </w:drawing>
      </w:r>
    </w:p>
    <w:p w14:paraId="30EA86C3" w14:textId="3A83AE6A" w:rsidR="001A112F" w:rsidRPr="002175D6" w:rsidRDefault="001A112F" w:rsidP="001A112F">
      <w:pPr>
        <w:rPr>
          <w:i/>
          <w:iCs/>
        </w:rPr>
      </w:pPr>
      <w:r w:rsidRPr="002175D6">
        <w:rPr>
          <w:i/>
          <w:iCs/>
        </w:rPr>
        <w:t xml:space="preserve">Figure </w:t>
      </w:r>
      <w:r w:rsidR="002175D6">
        <w:rPr>
          <w:i/>
          <w:iCs/>
        </w:rPr>
        <w:t>8</w:t>
      </w:r>
      <w:r w:rsidRPr="002175D6">
        <w:rPr>
          <w:i/>
          <w:iCs/>
        </w:rPr>
        <w:t xml:space="preserve">: London map with </w:t>
      </w:r>
      <w:proofErr w:type="spellStart"/>
      <w:r w:rsidRPr="002175D6">
        <w:rPr>
          <w:i/>
          <w:iCs/>
        </w:rPr>
        <w:t>outcodes</w:t>
      </w:r>
      <w:proofErr w:type="spellEnd"/>
      <w:r w:rsidRPr="002175D6">
        <w:rPr>
          <w:i/>
          <w:iCs/>
        </w:rPr>
        <w:t xml:space="preserve"> shown.</w:t>
      </w:r>
    </w:p>
    <w:p w14:paraId="3040C420" w14:textId="33996906" w:rsidR="001A112F" w:rsidRDefault="001A112F" w:rsidP="001A112F">
      <w:r>
        <w:t xml:space="preserve">We want to create a choropleth, so instead of centroids, we really want the marks to be the boundary of each </w:t>
      </w:r>
      <w:proofErr w:type="spellStart"/>
      <w:r>
        <w:t>outcode</w:t>
      </w:r>
      <w:proofErr w:type="spellEnd"/>
      <w:r>
        <w:t xml:space="preserve">. This is easy to achieve: just go to the drop-down menu below Marks (which reads </w:t>
      </w:r>
      <w:r w:rsidRPr="00487E84">
        <w:rPr>
          <w:i/>
          <w:iCs/>
        </w:rPr>
        <w:t>Automatic</w:t>
      </w:r>
      <w:r>
        <w:t xml:space="preserve"> </w:t>
      </w:r>
      <w:proofErr w:type="gramStart"/>
      <w:r>
        <w:t>at the moment</w:t>
      </w:r>
      <w:proofErr w:type="gramEnd"/>
      <w:r>
        <w:t xml:space="preserve">) and select </w:t>
      </w:r>
      <w:r w:rsidRPr="00487E84">
        <w:rPr>
          <w:i/>
          <w:iCs/>
        </w:rPr>
        <w:t>Map</w:t>
      </w:r>
      <w:r>
        <w:t xml:space="preserve"> instead. As you move the mouse over each region on the map, a tooltip tells you the corresponding </w:t>
      </w:r>
      <w:proofErr w:type="spellStart"/>
      <w:r>
        <w:t>outcode</w:t>
      </w:r>
      <w:proofErr w:type="spellEnd"/>
      <w:r w:rsidR="00BE7988">
        <w:rPr>
          <w:rStyle w:val="FootnoteReference"/>
        </w:rPr>
        <w:footnoteReference w:id="3"/>
      </w:r>
      <w:r>
        <w:t>.</w:t>
      </w:r>
    </w:p>
    <w:p w14:paraId="3FB0DEEF" w14:textId="77777777" w:rsidR="001A112F" w:rsidRDefault="001A112F" w:rsidP="001A112F">
      <w:r>
        <w:t xml:space="preserve">Now, let’s make this map more readable. As suggested above, adding the road layer is helpful to orient people who know the city, and I suggest you also add postcode boundaries and postcode labels as this helps to see which postcodes are included in the data and which are not. Finally, set the borders to white. You do this by selecting the colour mark, clicking on the Border dropdown and then selecting a white box (or </w:t>
      </w:r>
      <w:proofErr w:type="gramStart"/>
      <w:r>
        <w:t>other</w:t>
      </w:r>
      <w:proofErr w:type="gramEnd"/>
      <w:r>
        <w:t xml:space="preserve"> colour if you prefer). You should see something like Figure 11.</w:t>
      </w:r>
    </w:p>
    <w:p w14:paraId="7F655275" w14:textId="77777777" w:rsidR="001A112F" w:rsidRDefault="001A112F" w:rsidP="001A112F">
      <w:r>
        <w:t xml:space="preserve">Close the Layer palette and return to the Data menu. Let’s plot some data: move the variable </w:t>
      </w:r>
      <w:r w:rsidRPr="00715F26">
        <w:rPr>
          <w:i/>
          <w:iCs/>
        </w:rPr>
        <w:t>Price</w:t>
      </w:r>
      <w:r>
        <w:t xml:space="preserve"> to the Colour mark. This is OK but the default value inserted by Tableau is the sum of all the prices (in each </w:t>
      </w:r>
      <w:proofErr w:type="spellStart"/>
      <w:r>
        <w:t>outcode</w:t>
      </w:r>
      <w:proofErr w:type="spellEnd"/>
      <w:r>
        <w:t xml:space="preserve">). This skews the analysis since it is dependent on the total number of properties for sale in that locality. Instead, we are more interested in the average price. Luckily, the average is one of the built-in </w:t>
      </w:r>
      <w:r>
        <w:lastRenderedPageBreak/>
        <w:t xml:space="preserve">Tableau functions that can be applied to a variable. Left click on the green pill for </w:t>
      </w:r>
      <w:r w:rsidRPr="00975C03">
        <w:rPr>
          <w:i/>
          <w:iCs/>
        </w:rPr>
        <w:t>Price</w:t>
      </w:r>
      <w:r>
        <w:t xml:space="preserve"> and go down to the </w:t>
      </w:r>
      <w:r w:rsidRPr="00975C03">
        <w:rPr>
          <w:i/>
          <w:iCs/>
        </w:rPr>
        <w:t>Measure</w:t>
      </w:r>
      <w:r>
        <w:t xml:space="preserve"> sub-menu (which shows </w:t>
      </w:r>
      <w:r w:rsidRPr="00975C03">
        <w:rPr>
          <w:i/>
          <w:iCs/>
        </w:rPr>
        <w:t>Measure (Sum)</w:t>
      </w:r>
      <w:r>
        <w:t xml:space="preserve"> since sum has been chosen. Change that to </w:t>
      </w:r>
      <w:r w:rsidRPr="00975C03">
        <w:rPr>
          <w:i/>
          <w:iCs/>
        </w:rPr>
        <w:t>Average</w:t>
      </w:r>
      <w:r>
        <w:t xml:space="preserve"> instead. It should look something like Figure 12.</w:t>
      </w:r>
    </w:p>
    <w:p w14:paraId="6D195853" w14:textId="77777777" w:rsidR="001A112F" w:rsidRDefault="001A112F" w:rsidP="001A112F">
      <w:pPr>
        <w:jc w:val="center"/>
      </w:pPr>
      <w:r>
        <w:rPr>
          <w:noProof/>
        </w:rPr>
        <w:drawing>
          <wp:inline distT="0" distB="0" distL="0" distR="0" wp14:anchorId="39222910" wp14:editId="6E8E306A">
            <wp:extent cx="6645910" cy="3138805"/>
            <wp:effectExtent l="0" t="0" r="2540" b="4445"/>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3138805"/>
                    </a:xfrm>
                    <a:prstGeom prst="rect">
                      <a:avLst/>
                    </a:prstGeom>
                  </pic:spPr>
                </pic:pic>
              </a:graphicData>
            </a:graphic>
          </wp:inline>
        </w:drawing>
      </w:r>
    </w:p>
    <w:p w14:paraId="005E51E1" w14:textId="30273637" w:rsidR="001A112F" w:rsidRPr="002175D6" w:rsidRDefault="001A112F" w:rsidP="001A112F">
      <w:pPr>
        <w:rPr>
          <w:i/>
          <w:iCs/>
        </w:rPr>
      </w:pPr>
      <w:r w:rsidRPr="002175D6">
        <w:rPr>
          <w:i/>
          <w:iCs/>
        </w:rPr>
        <w:t xml:space="preserve">Figure </w:t>
      </w:r>
      <w:r w:rsidR="002175D6">
        <w:rPr>
          <w:i/>
          <w:iCs/>
        </w:rPr>
        <w:t>9</w:t>
      </w:r>
      <w:r w:rsidRPr="002175D6">
        <w:rPr>
          <w:i/>
          <w:iCs/>
        </w:rPr>
        <w:t>: London map with postcode (</w:t>
      </w:r>
      <w:proofErr w:type="spellStart"/>
      <w:r w:rsidRPr="002175D6">
        <w:rPr>
          <w:i/>
          <w:iCs/>
        </w:rPr>
        <w:t>outcode</w:t>
      </w:r>
      <w:proofErr w:type="spellEnd"/>
      <w:r w:rsidRPr="002175D6">
        <w:rPr>
          <w:i/>
          <w:iCs/>
        </w:rPr>
        <w:t>) regions with white boundaries.</w:t>
      </w:r>
    </w:p>
    <w:p w14:paraId="3D77E39B" w14:textId="77777777" w:rsidR="001A112F" w:rsidRDefault="001A112F" w:rsidP="001A112F">
      <w:r>
        <w:t>Note that the legend has an extremely large range (263,249 to 6,715,097) driven by two postcodes with exceptionally high prices. Doing more with this requires more sophisticated Tableau features, so will be left until later or for your experimentation.</w:t>
      </w:r>
    </w:p>
    <w:p w14:paraId="3B6373FF" w14:textId="77777777" w:rsidR="001A112F" w:rsidRDefault="001A112F" w:rsidP="001A112F">
      <w:pPr>
        <w:jc w:val="center"/>
      </w:pPr>
      <w:r>
        <w:rPr>
          <w:noProof/>
        </w:rPr>
        <w:drawing>
          <wp:inline distT="0" distB="0" distL="0" distR="0" wp14:anchorId="5FE43809" wp14:editId="51468FE7">
            <wp:extent cx="6645910" cy="3296920"/>
            <wp:effectExtent l="0" t="0" r="2540" b="0"/>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5910" cy="3296920"/>
                    </a:xfrm>
                    <a:prstGeom prst="rect">
                      <a:avLst/>
                    </a:prstGeom>
                  </pic:spPr>
                </pic:pic>
              </a:graphicData>
            </a:graphic>
          </wp:inline>
        </w:drawing>
      </w:r>
    </w:p>
    <w:p w14:paraId="7165D8D2" w14:textId="1F48C691" w:rsidR="001A112F" w:rsidRDefault="001A112F" w:rsidP="001A112F">
      <w:pPr>
        <w:rPr>
          <w:i/>
          <w:iCs/>
        </w:rPr>
      </w:pPr>
      <w:r>
        <w:rPr>
          <w:i/>
          <w:iCs/>
        </w:rPr>
        <w:t>Figure 1</w:t>
      </w:r>
      <w:r w:rsidR="002175D6">
        <w:rPr>
          <w:i/>
          <w:iCs/>
        </w:rPr>
        <w:t>0</w:t>
      </w:r>
      <w:r>
        <w:rPr>
          <w:i/>
          <w:iCs/>
        </w:rPr>
        <w:t>: London map with average property price in each postcode region.</w:t>
      </w:r>
    </w:p>
    <w:p w14:paraId="6B3BF2A9" w14:textId="77777777" w:rsidR="001A112F" w:rsidRDefault="001A112F" w:rsidP="001A112F"/>
    <w:p w14:paraId="3C6D39B8" w14:textId="06747CF4" w:rsidR="001F33D0" w:rsidRPr="00EE7004" w:rsidRDefault="001D1972" w:rsidP="007D2387">
      <w:pPr>
        <w:rPr>
          <w:rFonts w:cs="Arial"/>
        </w:rPr>
      </w:pPr>
      <w:r>
        <w:rPr>
          <w:rFonts w:cs="Arial"/>
        </w:rPr>
        <w:t xml:space="preserve">There is more to be said on the subject of </w:t>
      </w:r>
      <w:r w:rsidR="00397462">
        <w:rPr>
          <w:rFonts w:cs="Arial"/>
        </w:rPr>
        <w:t xml:space="preserve">UK </w:t>
      </w:r>
      <w:r>
        <w:rPr>
          <w:rFonts w:cs="Arial"/>
        </w:rPr>
        <w:t xml:space="preserve">maps (e.g. </w:t>
      </w:r>
      <w:hyperlink r:id="rId29" w:history="1">
        <w:r w:rsidRPr="00941A0C">
          <w:rPr>
            <w:rStyle w:val="Hyperlink"/>
            <w:rFonts w:cs="Arial"/>
          </w:rPr>
          <w:t>https://www.theinformationlab.co.uk/2015/06/01/uk-filled-map-geocoding-pack-for-tableau/</w:t>
        </w:r>
      </w:hyperlink>
      <w:r>
        <w:rPr>
          <w:rFonts w:cs="Arial"/>
        </w:rPr>
        <w:t xml:space="preserve">) but this is </w:t>
      </w:r>
      <w:r w:rsidR="00397462">
        <w:rPr>
          <w:rFonts w:cs="Arial"/>
        </w:rPr>
        <w:t>much more complicated and will be left for later.</w:t>
      </w:r>
    </w:p>
    <w:sectPr w:rsidR="001F33D0" w:rsidRPr="00EE7004" w:rsidSect="00CB123E">
      <w:foot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107BE" w14:textId="77777777" w:rsidR="00C4728A" w:rsidRDefault="00C4728A" w:rsidP="00CB123E">
      <w:pPr>
        <w:spacing w:after="0"/>
      </w:pPr>
      <w:r>
        <w:separator/>
      </w:r>
    </w:p>
  </w:endnote>
  <w:endnote w:type="continuationSeparator" w:id="0">
    <w:p w14:paraId="2B213C10" w14:textId="77777777" w:rsidR="00C4728A" w:rsidRDefault="00C4728A" w:rsidP="00CB12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071641"/>
      <w:docPartObj>
        <w:docPartGallery w:val="Page Numbers (Bottom of Page)"/>
        <w:docPartUnique/>
      </w:docPartObj>
    </w:sdtPr>
    <w:sdtEndPr>
      <w:rPr>
        <w:noProof/>
      </w:rPr>
    </w:sdtEndPr>
    <w:sdtContent>
      <w:p w14:paraId="451A0C7B" w14:textId="09A8C3ED" w:rsidR="00A87392" w:rsidRDefault="00A873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CD48C4" w14:textId="18BFFAFA" w:rsidR="00CB123E" w:rsidRDefault="00CC16E6">
    <w:pPr>
      <w:pStyle w:val="Footer"/>
    </w:pPr>
    <w:r>
      <w:t xml:space="preserve">Introduction to Data </w:t>
    </w:r>
    <w:r w:rsidR="00A87392">
      <w:t>Analytics: Sheet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E7122" w14:textId="77777777" w:rsidR="00C4728A" w:rsidRDefault="00C4728A" w:rsidP="00CB123E">
      <w:pPr>
        <w:spacing w:after="0"/>
      </w:pPr>
      <w:r>
        <w:separator/>
      </w:r>
    </w:p>
  </w:footnote>
  <w:footnote w:type="continuationSeparator" w:id="0">
    <w:p w14:paraId="5ED81E6E" w14:textId="77777777" w:rsidR="00C4728A" w:rsidRDefault="00C4728A" w:rsidP="00CB123E">
      <w:pPr>
        <w:spacing w:after="0"/>
      </w:pPr>
      <w:r>
        <w:continuationSeparator/>
      </w:r>
    </w:p>
  </w:footnote>
  <w:footnote w:id="1">
    <w:p w14:paraId="1B0B7A92" w14:textId="77777777" w:rsidR="001A112F" w:rsidRPr="0002771E" w:rsidRDefault="001A112F" w:rsidP="001A112F">
      <w:pPr>
        <w:pStyle w:val="FootnoteText"/>
        <w:rPr>
          <w:lang w:val="en-US"/>
        </w:rPr>
      </w:pPr>
      <w:r>
        <w:rPr>
          <w:rStyle w:val="FootnoteReference"/>
        </w:rPr>
        <w:footnoteRef/>
      </w:r>
      <w:r>
        <w:t xml:space="preserve"> </w:t>
      </w:r>
      <w:r w:rsidRPr="0002771E">
        <w:t xml:space="preserve">If any locations are not known to Tableau, you can fix that in </w:t>
      </w:r>
      <w:proofErr w:type="gramStart"/>
      <w:r w:rsidRPr="0002771E">
        <w:t>a number of</w:t>
      </w:r>
      <w:proofErr w:type="gramEnd"/>
      <w:r w:rsidRPr="0002771E">
        <w:t xml:space="preserve"> ways</w:t>
      </w:r>
      <w:r>
        <w:t xml:space="preserve">. Information can be found here </w:t>
      </w:r>
      <w:hyperlink r:id="rId1" w:history="1">
        <w:r w:rsidRPr="0095627F">
          <w:rPr>
            <w:rStyle w:val="Hyperlink"/>
          </w:rPr>
          <w:t>https://help.tableau.com/current/pro/desktop/en-gb/maps_editlocation.htm</w:t>
        </w:r>
      </w:hyperlink>
      <w:r>
        <w:t xml:space="preserve"> </w:t>
      </w:r>
    </w:p>
  </w:footnote>
  <w:footnote w:id="2">
    <w:p w14:paraId="2269EADD" w14:textId="1C189A29" w:rsidR="001A112F" w:rsidRPr="002B658C" w:rsidRDefault="001A112F" w:rsidP="001A112F">
      <w:pPr>
        <w:pStyle w:val="FootnoteText"/>
        <w:rPr>
          <w:lang w:val="en-US"/>
        </w:rPr>
      </w:pPr>
      <w:r>
        <w:rPr>
          <w:rStyle w:val="FootnoteReference"/>
        </w:rPr>
        <w:footnoteRef/>
      </w:r>
      <w:r>
        <w:t xml:space="preserve"> </w:t>
      </w:r>
      <w:r>
        <w:rPr>
          <w:lang w:val="en-US"/>
        </w:rPr>
        <w:t>Partially based on one developed by Tableau Tim</w:t>
      </w:r>
      <w:r w:rsidR="007668FB">
        <w:rPr>
          <w:lang w:val="en-US"/>
        </w:rPr>
        <w:t xml:space="preserve">. For his YouTube channel go to </w:t>
      </w:r>
      <w:hyperlink r:id="rId2" w:history="1">
        <w:r w:rsidR="007668FB" w:rsidRPr="00941A0C">
          <w:rPr>
            <w:rStyle w:val="Hyperlink"/>
            <w:lang w:val="en-US"/>
          </w:rPr>
          <w:t>https://www.youtube.com/c/TableauTim</w:t>
        </w:r>
      </w:hyperlink>
      <w:r w:rsidR="007668FB">
        <w:rPr>
          <w:lang w:val="en-US"/>
        </w:rPr>
        <w:t xml:space="preserve"> He is a very engaging and clear demonstrator of techniques in Tableau.</w:t>
      </w:r>
    </w:p>
  </w:footnote>
  <w:footnote w:id="3">
    <w:p w14:paraId="1F5EDA3B" w14:textId="79184D72" w:rsidR="00BE7988" w:rsidRDefault="00BE7988">
      <w:pPr>
        <w:pStyle w:val="FootnoteText"/>
      </w:pPr>
      <w:r>
        <w:rPr>
          <w:rStyle w:val="FootnoteReference"/>
        </w:rPr>
        <w:footnoteRef/>
      </w:r>
      <w:r>
        <w:t xml:space="preserve"> For what it is worth, I was brought up from the age of 11 in NW6. See if you can find that area on the map.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57ACA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6F47A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37A89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3EABF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CC0A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6AC2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620E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9E0F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B87CE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DB29FF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C373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A9425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AF307A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82"/>
    <w:rsid w:val="00083925"/>
    <w:rsid w:val="000952D6"/>
    <w:rsid w:val="000C7EB5"/>
    <w:rsid w:val="000D4032"/>
    <w:rsid w:val="000E0AE2"/>
    <w:rsid w:val="00123B63"/>
    <w:rsid w:val="001329E7"/>
    <w:rsid w:val="001460B0"/>
    <w:rsid w:val="001520D8"/>
    <w:rsid w:val="001538F9"/>
    <w:rsid w:val="00161C1F"/>
    <w:rsid w:val="00164C05"/>
    <w:rsid w:val="00173B17"/>
    <w:rsid w:val="001A112F"/>
    <w:rsid w:val="001A2946"/>
    <w:rsid w:val="001B1D09"/>
    <w:rsid w:val="001B437C"/>
    <w:rsid w:val="001B777E"/>
    <w:rsid w:val="001C3F8A"/>
    <w:rsid w:val="001C52B9"/>
    <w:rsid w:val="001D1972"/>
    <w:rsid w:val="001D32AC"/>
    <w:rsid w:val="001F33D0"/>
    <w:rsid w:val="001F598C"/>
    <w:rsid w:val="002175D6"/>
    <w:rsid w:val="00222B23"/>
    <w:rsid w:val="002258BD"/>
    <w:rsid w:val="00230CAA"/>
    <w:rsid w:val="002555C0"/>
    <w:rsid w:val="00257F46"/>
    <w:rsid w:val="00272CF3"/>
    <w:rsid w:val="00287D50"/>
    <w:rsid w:val="00296EED"/>
    <w:rsid w:val="002A1AAB"/>
    <w:rsid w:val="002A4DA6"/>
    <w:rsid w:val="00327A6C"/>
    <w:rsid w:val="00341AB2"/>
    <w:rsid w:val="00397462"/>
    <w:rsid w:val="003A194C"/>
    <w:rsid w:val="003A72D7"/>
    <w:rsid w:val="003B32FA"/>
    <w:rsid w:val="003D3D68"/>
    <w:rsid w:val="003E4892"/>
    <w:rsid w:val="003E4B1B"/>
    <w:rsid w:val="003E54CB"/>
    <w:rsid w:val="00403082"/>
    <w:rsid w:val="004055CD"/>
    <w:rsid w:val="00432F69"/>
    <w:rsid w:val="004726D6"/>
    <w:rsid w:val="00487C6B"/>
    <w:rsid w:val="004E171C"/>
    <w:rsid w:val="00567AD3"/>
    <w:rsid w:val="005B41EB"/>
    <w:rsid w:val="005B6E07"/>
    <w:rsid w:val="005C1C80"/>
    <w:rsid w:val="0061521F"/>
    <w:rsid w:val="006305C8"/>
    <w:rsid w:val="00653817"/>
    <w:rsid w:val="006553DB"/>
    <w:rsid w:val="00661637"/>
    <w:rsid w:val="00666EE9"/>
    <w:rsid w:val="00672922"/>
    <w:rsid w:val="00691F05"/>
    <w:rsid w:val="00693FCF"/>
    <w:rsid w:val="006B0DF3"/>
    <w:rsid w:val="006D71F2"/>
    <w:rsid w:val="006F4B9B"/>
    <w:rsid w:val="007562C6"/>
    <w:rsid w:val="007668FB"/>
    <w:rsid w:val="007B01F6"/>
    <w:rsid w:val="007C3CBF"/>
    <w:rsid w:val="007D2387"/>
    <w:rsid w:val="007D5C6A"/>
    <w:rsid w:val="007F1E44"/>
    <w:rsid w:val="008341DC"/>
    <w:rsid w:val="00837FA6"/>
    <w:rsid w:val="008879F9"/>
    <w:rsid w:val="008C6FA5"/>
    <w:rsid w:val="009134BB"/>
    <w:rsid w:val="00917833"/>
    <w:rsid w:val="00953C91"/>
    <w:rsid w:val="00971D4B"/>
    <w:rsid w:val="009925AE"/>
    <w:rsid w:val="009C61C5"/>
    <w:rsid w:val="009D458B"/>
    <w:rsid w:val="00A02315"/>
    <w:rsid w:val="00A15872"/>
    <w:rsid w:val="00A32308"/>
    <w:rsid w:val="00A71E2D"/>
    <w:rsid w:val="00A77518"/>
    <w:rsid w:val="00A8163F"/>
    <w:rsid w:val="00A87392"/>
    <w:rsid w:val="00B314C0"/>
    <w:rsid w:val="00B54C0B"/>
    <w:rsid w:val="00B56EB8"/>
    <w:rsid w:val="00B92A53"/>
    <w:rsid w:val="00B95E93"/>
    <w:rsid w:val="00BA17FD"/>
    <w:rsid w:val="00BA6B82"/>
    <w:rsid w:val="00BB276E"/>
    <w:rsid w:val="00BE7988"/>
    <w:rsid w:val="00C01C48"/>
    <w:rsid w:val="00C27B8A"/>
    <w:rsid w:val="00C30D51"/>
    <w:rsid w:val="00C4728A"/>
    <w:rsid w:val="00CB08C2"/>
    <w:rsid w:val="00CB123E"/>
    <w:rsid w:val="00CC16E6"/>
    <w:rsid w:val="00CC599C"/>
    <w:rsid w:val="00CD6235"/>
    <w:rsid w:val="00D04212"/>
    <w:rsid w:val="00D056B2"/>
    <w:rsid w:val="00D5116F"/>
    <w:rsid w:val="00DB605B"/>
    <w:rsid w:val="00DE0309"/>
    <w:rsid w:val="00DF7B09"/>
    <w:rsid w:val="00E173F3"/>
    <w:rsid w:val="00E21732"/>
    <w:rsid w:val="00E7431F"/>
    <w:rsid w:val="00E833A6"/>
    <w:rsid w:val="00ED2460"/>
    <w:rsid w:val="00EE7004"/>
    <w:rsid w:val="00F118F7"/>
    <w:rsid w:val="00F729F3"/>
    <w:rsid w:val="00FD02D2"/>
    <w:rsid w:val="00FE48EA"/>
    <w:rsid w:val="00FF1F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626C"/>
  <w15:chartTrackingRefBased/>
  <w15:docId w15:val="{A1CCEA5A-49F4-456D-ACC7-79F3F850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DA6"/>
    <w:pPr>
      <w:spacing w:after="120"/>
    </w:pPr>
    <w:rPr>
      <w:rFonts w:ascii="Arial" w:hAnsi="Arial"/>
      <w:sz w:val="22"/>
    </w:rPr>
  </w:style>
  <w:style w:type="paragraph" w:styleId="Heading1">
    <w:name w:val="heading 1"/>
    <w:basedOn w:val="Normal"/>
    <w:next w:val="Normal"/>
    <w:link w:val="Heading1Char"/>
    <w:uiPriority w:val="9"/>
    <w:qFormat/>
    <w:rsid w:val="00287D50"/>
    <w:pPr>
      <w:keepNext/>
      <w:keepLines/>
      <w:numPr>
        <w:numId w:val="13"/>
      </w:numPr>
      <w:spacing w:before="8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B605B"/>
    <w:pPr>
      <w:keepNext/>
      <w:keepLines/>
      <w:numPr>
        <w:ilvl w:val="1"/>
        <w:numId w:val="13"/>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553DB"/>
    <w:pPr>
      <w:keepNext/>
      <w:keepLines/>
      <w:numPr>
        <w:ilvl w:val="2"/>
        <w:numId w:val="13"/>
      </w:numPr>
      <w:spacing w:before="4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D056B2"/>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56B2"/>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56B2"/>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56B2"/>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56B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56B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unhideWhenUsed/>
    <w:rsid w:val="002A4DA6"/>
    <w:pPr>
      <w:numPr>
        <w:numId w:val="6"/>
      </w:numPr>
      <w:contextualSpacing/>
    </w:pPr>
  </w:style>
  <w:style w:type="character" w:styleId="Hyperlink">
    <w:name w:val="Hyperlink"/>
    <w:basedOn w:val="DefaultParagraphFont"/>
    <w:uiPriority w:val="99"/>
    <w:unhideWhenUsed/>
    <w:rsid w:val="004055CD"/>
    <w:rPr>
      <w:color w:val="0563C1" w:themeColor="hyperlink"/>
      <w:u w:val="single"/>
    </w:rPr>
  </w:style>
  <w:style w:type="character" w:styleId="UnresolvedMention">
    <w:name w:val="Unresolved Mention"/>
    <w:basedOn w:val="DefaultParagraphFont"/>
    <w:uiPriority w:val="99"/>
    <w:semiHidden/>
    <w:unhideWhenUsed/>
    <w:rsid w:val="004055CD"/>
    <w:rPr>
      <w:color w:val="605E5C"/>
      <w:shd w:val="clear" w:color="auto" w:fill="E1DFDD"/>
    </w:rPr>
  </w:style>
  <w:style w:type="character" w:customStyle="1" w:styleId="Heading2Char">
    <w:name w:val="Heading 2 Char"/>
    <w:basedOn w:val="DefaultParagraphFont"/>
    <w:link w:val="Heading2"/>
    <w:uiPriority w:val="9"/>
    <w:rsid w:val="00DB605B"/>
    <w:rPr>
      <w:rFonts w:ascii="Arial" w:eastAsiaTheme="majorEastAsia" w:hAnsi="Arial" w:cstheme="majorBidi"/>
      <w:b/>
      <w:sz w:val="26"/>
      <w:szCs w:val="26"/>
    </w:rPr>
  </w:style>
  <w:style w:type="table" w:styleId="TableGrid">
    <w:name w:val="Table Grid"/>
    <w:basedOn w:val="TableNormal"/>
    <w:uiPriority w:val="39"/>
    <w:rsid w:val="00146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53DB"/>
    <w:rPr>
      <w:rFonts w:ascii="Arial" w:eastAsiaTheme="majorEastAsia" w:hAnsi="Arial" w:cstheme="majorBidi"/>
      <w:sz w:val="24"/>
      <w:szCs w:val="24"/>
    </w:rPr>
  </w:style>
  <w:style w:type="character" w:customStyle="1" w:styleId="Heading1Char">
    <w:name w:val="Heading 1 Char"/>
    <w:basedOn w:val="DefaultParagraphFont"/>
    <w:link w:val="Heading1"/>
    <w:uiPriority w:val="9"/>
    <w:rsid w:val="00287D50"/>
    <w:rPr>
      <w:rFonts w:ascii="Arial" w:eastAsiaTheme="majorEastAsia" w:hAnsi="Arial" w:cstheme="majorBidi"/>
      <w:b/>
      <w:sz w:val="28"/>
      <w:szCs w:val="32"/>
    </w:rPr>
  </w:style>
  <w:style w:type="character" w:customStyle="1" w:styleId="Heading4Char">
    <w:name w:val="Heading 4 Char"/>
    <w:basedOn w:val="DefaultParagraphFont"/>
    <w:link w:val="Heading4"/>
    <w:uiPriority w:val="9"/>
    <w:semiHidden/>
    <w:rsid w:val="00D056B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D056B2"/>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D056B2"/>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D056B2"/>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D056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56B2"/>
    <w:rPr>
      <w:rFonts w:asciiTheme="majorHAnsi" w:eastAsiaTheme="majorEastAsia" w:hAnsiTheme="majorHAnsi" w:cstheme="majorBidi"/>
      <w:i/>
      <w:iCs/>
      <w:color w:val="272727" w:themeColor="text1" w:themeTint="D8"/>
      <w:sz w:val="21"/>
      <w:szCs w:val="21"/>
    </w:rPr>
  </w:style>
  <w:style w:type="paragraph" w:styleId="ListBullet">
    <w:name w:val="List Bullet"/>
    <w:basedOn w:val="Normal"/>
    <w:uiPriority w:val="99"/>
    <w:unhideWhenUsed/>
    <w:rsid w:val="00FE48EA"/>
    <w:pPr>
      <w:numPr>
        <w:numId w:val="1"/>
      </w:numPr>
      <w:contextualSpacing/>
    </w:pPr>
  </w:style>
  <w:style w:type="paragraph" w:styleId="Header">
    <w:name w:val="header"/>
    <w:basedOn w:val="Normal"/>
    <w:link w:val="HeaderChar"/>
    <w:uiPriority w:val="99"/>
    <w:unhideWhenUsed/>
    <w:rsid w:val="00CB123E"/>
    <w:pPr>
      <w:tabs>
        <w:tab w:val="center" w:pos="4513"/>
        <w:tab w:val="right" w:pos="9026"/>
      </w:tabs>
      <w:spacing w:after="0"/>
    </w:pPr>
  </w:style>
  <w:style w:type="character" w:customStyle="1" w:styleId="HeaderChar">
    <w:name w:val="Header Char"/>
    <w:basedOn w:val="DefaultParagraphFont"/>
    <w:link w:val="Header"/>
    <w:uiPriority w:val="99"/>
    <w:rsid w:val="00CB123E"/>
    <w:rPr>
      <w:rFonts w:ascii="Arial" w:hAnsi="Arial"/>
      <w:sz w:val="22"/>
    </w:rPr>
  </w:style>
  <w:style w:type="paragraph" w:styleId="Footer">
    <w:name w:val="footer"/>
    <w:basedOn w:val="Normal"/>
    <w:link w:val="FooterChar"/>
    <w:uiPriority w:val="99"/>
    <w:unhideWhenUsed/>
    <w:rsid w:val="00CB123E"/>
    <w:pPr>
      <w:tabs>
        <w:tab w:val="center" w:pos="4513"/>
        <w:tab w:val="right" w:pos="9026"/>
      </w:tabs>
      <w:spacing w:after="0"/>
    </w:pPr>
  </w:style>
  <w:style w:type="character" w:customStyle="1" w:styleId="FooterChar">
    <w:name w:val="Footer Char"/>
    <w:basedOn w:val="DefaultParagraphFont"/>
    <w:link w:val="Footer"/>
    <w:uiPriority w:val="99"/>
    <w:rsid w:val="00CB123E"/>
    <w:rPr>
      <w:rFonts w:ascii="Arial" w:hAnsi="Arial"/>
      <w:sz w:val="22"/>
    </w:rPr>
  </w:style>
  <w:style w:type="paragraph" w:styleId="ListBullet2">
    <w:name w:val="List Bullet 2"/>
    <w:basedOn w:val="Normal"/>
    <w:uiPriority w:val="99"/>
    <w:unhideWhenUsed/>
    <w:rsid w:val="00083925"/>
    <w:pPr>
      <w:numPr>
        <w:numId w:val="2"/>
      </w:numPr>
      <w:contextualSpacing/>
    </w:pPr>
  </w:style>
  <w:style w:type="character" w:styleId="FollowedHyperlink">
    <w:name w:val="FollowedHyperlink"/>
    <w:basedOn w:val="DefaultParagraphFont"/>
    <w:uiPriority w:val="99"/>
    <w:semiHidden/>
    <w:unhideWhenUsed/>
    <w:rsid w:val="00222B23"/>
    <w:rPr>
      <w:color w:val="954F72" w:themeColor="followedHyperlink"/>
      <w:u w:val="single"/>
    </w:rPr>
  </w:style>
  <w:style w:type="paragraph" w:styleId="FootnoteText">
    <w:name w:val="footnote text"/>
    <w:basedOn w:val="Normal"/>
    <w:link w:val="FootnoteTextChar"/>
    <w:uiPriority w:val="99"/>
    <w:semiHidden/>
    <w:unhideWhenUsed/>
    <w:rsid w:val="001A112F"/>
    <w:pPr>
      <w:spacing w:after="0"/>
    </w:pPr>
    <w:rPr>
      <w:sz w:val="20"/>
    </w:rPr>
  </w:style>
  <w:style w:type="character" w:customStyle="1" w:styleId="FootnoteTextChar">
    <w:name w:val="Footnote Text Char"/>
    <w:basedOn w:val="DefaultParagraphFont"/>
    <w:link w:val="FootnoteText"/>
    <w:uiPriority w:val="99"/>
    <w:semiHidden/>
    <w:rsid w:val="001A112F"/>
    <w:rPr>
      <w:rFonts w:ascii="Arial" w:hAnsi="Arial"/>
    </w:rPr>
  </w:style>
  <w:style w:type="character" w:styleId="FootnoteReference">
    <w:name w:val="footnote reference"/>
    <w:basedOn w:val="DefaultParagraphFont"/>
    <w:uiPriority w:val="99"/>
    <w:semiHidden/>
    <w:unhideWhenUsed/>
    <w:rsid w:val="001A11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hyperlink" Target="https://www.theinformationlab.co.uk/2015/06/01/uk-filled-map-geocoding-pack-for-table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lp.tableau.com/current/pro/desktop/en-us/datafields_typesandroles_datatypes.htm" TargetMode="External"/><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c/TableauTim" TargetMode="External"/><Relationship Id="rId1" Type="http://schemas.openxmlformats.org/officeDocument/2006/relationships/hyperlink" Target="https://help.tableau.com/current/pro/desktop/en-gb/maps_editlocati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B8CBB-A281-4F84-BB71-AFADD19E7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9</Pages>
  <Words>2174</Words>
  <Characters>12397</Characters>
  <Application>Microsoft Office Word</Application>
  <DocSecurity>0</DocSecurity>
  <Lines>103</Lines>
  <Paragraphs>29</Paragraphs>
  <ScaleCrop>false</ScaleCrop>
  <Company/>
  <LinksUpToDate>false</LinksUpToDate>
  <CharactersWithSpaces>14542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Nabney</dc:creator>
  <cp:keywords/>
  <dc:description/>
  <cp:lastModifiedBy>Ian Nabney</cp:lastModifiedBy>
  <cp:revision>119</cp:revision>
  <dcterms:created xsi:type="dcterms:W3CDTF">2021-02-07T20:44:00Z</dcterms:created>
  <dcterms:modified xsi:type="dcterms:W3CDTF">2022-01-29T22:49:00Z</dcterms:modified>
</cp:coreProperties>
</file>