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91E88" w14:textId="49DD8029" w:rsidR="00846FD0" w:rsidRDefault="00E06187">
      <w:r>
        <w:t xml:space="preserve"> </w:t>
      </w:r>
      <w:r w:rsidR="00833155">
        <w:t xml:space="preserve"> </w:t>
      </w:r>
      <w:r w:rsidR="004E19C5" w:rsidRPr="004E19C5">
        <w:rPr>
          <w:noProof/>
        </w:rPr>
        <w:drawing>
          <wp:inline distT="0" distB="0" distL="0" distR="0" wp14:anchorId="7FC78CE2" wp14:editId="3438DE40">
            <wp:extent cx="5731510" cy="4461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61510"/>
                    </a:xfrm>
                    <a:prstGeom prst="rect">
                      <a:avLst/>
                    </a:prstGeom>
                  </pic:spPr>
                </pic:pic>
              </a:graphicData>
            </a:graphic>
          </wp:inline>
        </w:drawing>
      </w:r>
    </w:p>
    <w:p w14:paraId="64280EEF" w14:textId="2B7724D7" w:rsidR="004E19C5" w:rsidRDefault="004E19C5"/>
    <w:p w14:paraId="14CD097A" w14:textId="7050B671" w:rsidR="00833AAE" w:rsidRDefault="00833AAE">
      <w:r>
        <w:t>Slide 7</w:t>
      </w:r>
    </w:p>
    <w:p w14:paraId="28B0F706" w14:textId="4ACF83D2" w:rsidR="00833AAE" w:rsidRPr="00833AAE" w:rsidRDefault="00833AAE" w:rsidP="00833AAE">
      <w:r>
        <w:t xml:space="preserve">Scatterplot. </w:t>
      </w:r>
      <w:r w:rsidRPr="00833AAE">
        <w:t>Each point mark represents a country, with horizontal and vertical spatial position encoding the primary quantitative attributes of life expectancy and infant mortality. The colour channel is used for the categorical country attribute</w:t>
      </w:r>
      <w:r w:rsidR="001E73BE">
        <w:t xml:space="preserve"> (by region)</w:t>
      </w:r>
      <w:r w:rsidRPr="00833AAE">
        <w:t xml:space="preserve"> and the size channel for quantitative population attribute.</w:t>
      </w:r>
    </w:p>
    <w:p w14:paraId="6374072F" w14:textId="4B6A60B4" w:rsidR="00833AAE" w:rsidRDefault="00DC6717">
      <w:r>
        <w:t>Slide 1</w:t>
      </w:r>
      <w:r w:rsidR="00695F88">
        <w:t>1</w:t>
      </w:r>
    </w:p>
    <w:p w14:paraId="03BA75D7" w14:textId="0E762930" w:rsidR="00DC6717" w:rsidRDefault="00DC6717">
      <w:r>
        <w:t>The graph is an</w:t>
      </w:r>
      <w:r w:rsidRPr="00DC6717">
        <w:t xml:space="preserve"> example of a stacked bar chart used to inspect information from a computer memory profiler. The key used to distribute composite bars along the axis is the combination of a processor and a procedure. The key used to stack and colo</w:t>
      </w:r>
      <w:r>
        <w:t>u</w:t>
      </w:r>
      <w:r w:rsidRPr="00DC6717">
        <w:t>r the glyph subcomponents is the type of cache miss; the height of each full bar encodes all cache misses for each processor–procedure combination.</w:t>
      </w:r>
    </w:p>
    <w:p w14:paraId="6616C0B2" w14:textId="11EB5797" w:rsidR="00C83554" w:rsidRDefault="00C83554"/>
    <w:p w14:paraId="0C8BF70D" w14:textId="7767EDA8" w:rsidR="00C83554" w:rsidRDefault="00C83554">
      <w:r>
        <w:t>Slide 1</w:t>
      </w:r>
      <w:r w:rsidR="00D300BD">
        <w:t>4</w:t>
      </w:r>
    </w:p>
    <w:p w14:paraId="0A237926" w14:textId="74B544A1" w:rsidR="00C83554" w:rsidRDefault="00C83554">
      <w:pPr>
        <w:rPr>
          <w:color w:val="000000"/>
        </w:rPr>
      </w:pPr>
      <w:r>
        <w:rPr>
          <w:color w:val="000000"/>
        </w:rPr>
        <w:t>In this example the keys are genes and experimental conditions, and the quantitative value attribute is the activity level of a particular gene in a particular experimental condition as measured by a microarray. This heatmap uses a diverging red–green colo</w:t>
      </w:r>
      <w:r w:rsidR="009E01B2">
        <w:rPr>
          <w:color w:val="000000"/>
        </w:rPr>
        <w:t>u</w:t>
      </w:r>
      <w:r>
        <w:rPr>
          <w:color w:val="000000"/>
        </w:rPr>
        <w:t>rmap, as is common in the genomics domain. (In this domain there is a strong convention for the meaning of red and green that arose from raw images created by the optical microarray sensors that record fluorescence at specific wavelengths. Unfortunately, this choice causes problems for colourblind users.)</w:t>
      </w:r>
    </w:p>
    <w:p w14:paraId="6916DD4E" w14:textId="2BB1955A" w:rsidR="0050247C" w:rsidRDefault="0050247C">
      <w:r w:rsidRPr="0050247C">
        <w:lastRenderedPageBreak/>
        <w:t>A </w:t>
      </w:r>
      <w:r w:rsidRPr="0050247C">
        <w:rPr>
          <w:b/>
          <w:bCs/>
        </w:rPr>
        <w:t>cluster heatmap</w:t>
      </w:r>
      <w:r w:rsidRPr="0050247C">
        <w:t> is the juxtaposed combination of a heatmap and two dendrograms showing the derived data of the cluster hierarchies used in the reo</w:t>
      </w:r>
      <w:r>
        <w:t>r</w:t>
      </w:r>
      <w:r w:rsidRPr="0050247C">
        <w:t>dering. A </w:t>
      </w:r>
      <w:r w:rsidRPr="0050247C">
        <w:rPr>
          <w:b/>
          <w:bCs/>
        </w:rPr>
        <w:t>dendrogram</w:t>
      </w:r>
      <w:r>
        <w:rPr>
          <w:b/>
          <w:bCs/>
        </w:rPr>
        <w:t>-</w:t>
      </w:r>
      <w:r w:rsidRPr="0050247C">
        <w:rPr>
          <w:b/>
          <w:bCs/>
        </w:rPr>
        <w:t>cluster hierarchy</w:t>
      </w:r>
      <w:r w:rsidR="00CD10AF">
        <w:t xml:space="preserve"> </w:t>
      </w:r>
      <w:r w:rsidRPr="0050247C">
        <w:t>encapsulates the complete history of how a clustering algorithm operates iteratively. Each leaf represents a cluster of a single item; the interior nodes record the order in which clusters are merged together based on similarity, with the root representing the single cluster of all items. A </w:t>
      </w:r>
      <w:r w:rsidRPr="0050247C">
        <w:rPr>
          <w:b/>
          <w:bCs/>
        </w:rPr>
        <w:t>dendrogram</w:t>
      </w:r>
      <w:r w:rsidRPr="0050247C">
        <w:t> is a visual encoding of tree data with the leaves aligned so that the interior branch heights are easy to compare. The final order used for the rows and the columns of the matrix view is determined by traversing the leaves in the trees.</w:t>
      </w:r>
    </w:p>
    <w:p w14:paraId="56BB7762" w14:textId="70DFD4B3" w:rsidR="002C1D32" w:rsidRDefault="002C1D32"/>
    <w:p w14:paraId="55EFB8A8" w14:textId="1E46B2EC" w:rsidR="002C1D32" w:rsidRDefault="002C1D32">
      <w:r>
        <w:t>Slide 1</w:t>
      </w:r>
      <w:r w:rsidR="008046DB">
        <w:t>9</w:t>
      </w:r>
    </w:p>
    <w:p w14:paraId="26828B92" w14:textId="77777777" w:rsidR="002C1D32" w:rsidRPr="002C1D32" w:rsidRDefault="002C1D32" w:rsidP="002C1D32">
      <w:r w:rsidRPr="002C1D32">
        <w:t>If too many lines are overplotted, the resulting occlusion yields very little information. Figure 7.14 contrasts the idiom used successfully with 13 items and 7 attributes, as in Figure 7.14(a), versus ineffectively with over 16,000 items and 5 attributes, as in Figure 7.14(b). In the latter case, only the minimum and maximum values along each axis can be read; it is nearly impossible to see trends, anomalies, or correlations.</w:t>
      </w:r>
    </w:p>
    <w:p w14:paraId="6DF62569" w14:textId="77777777" w:rsidR="002C1D32" w:rsidRDefault="002C1D32"/>
    <w:sectPr w:rsidR="002C1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253B58"/>
    <w:multiLevelType w:val="hybridMultilevel"/>
    <w:tmpl w:val="AC5606A6"/>
    <w:lvl w:ilvl="0" w:tplc="64602916">
      <w:start w:val="1"/>
      <w:numFmt w:val="bullet"/>
      <w:lvlText w:val="•"/>
      <w:lvlJc w:val="left"/>
      <w:pPr>
        <w:tabs>
          <w:tab w:val="num" w:pos="720"/>
        </w:tabs>
        <w:ind w:left="720" w:hanging="360"/>
      </w:pPr>
      <w:rPr>
        <w:rFonts w:ascii="Arial" w:hAnsi="Arial" w:hint="default"/>
      </w:rPr>
    </w:lvl>
    <w:lvl w:ilvl="1" w:tplc="BC74688A" w:tentative="1">
      <w:start w:val="1"/>
      <w:numFmt w:val="bullet"/>
      <w:lvlText w:val="•"/>
      <w:lvlJc w:val="left"/>
      <w:pPr>
        <w:tabs>
          <w:tab w:val="num" w:pos="1440"/>
        </w:tabs>
        <w:ind w:left="1440" w:hanging="360"/>
      </w:pPr>
      <w:rPr>
        <w:rFonts w:ascii="Arial" w:hAnsi="Arial" w:hint="default"/>
      </w:rPr>
    </w:lvl>
    <w:lvl w:ilvl="2" w:tplc="CBD42EE8" w:tentative="1">
      <w:start w:val="1"/>
      <w:numFmt w:val="bullet"/>
      <w:lvlText w:val="•"/>
      <w:lvlJc w:val="left"/>
      <w:pPr>
        <w:tabs>
          <w:tab w:val="num" w:pos="2160"/>
        </w:tabs>
        <w:ind w:left="2160" w:hanging="360"/>
      </w:pPr>
      <w:rPr>
        <w:rFonts w:ascii="Arial" w:hAnsi="Arial" w:hint="default"/>
      </w:rPr>
    </w:lvl>
    <w:lvl w:ilvl="3" w:tplc="EE8E74F8" w:tentative="1">
      <w:start w:val="1"/>
      <w:numFmt w:val="bullet"/>
      <w:lvlText w:val="•"/>
      <w:lvlJc w:val="left"/>
      <w:pPr>
        <w:tabs>
          <w:tab w:val="num" w:pos="2880"/>
        </w:tabs>
        <w:ind w:left="2880" w:hanging="360"/>
      </w:pPr>
      <w:rPr>
        <w:rFonts w:ascii="Arial" w:hAnsi="Arial" w:hint="default"/>
      </w:rPr>
    </w:lvl>
    <w:lvl w:ilvl="4" w:tplc="BC7C99B0" w:tentative="1">
      <w:start w:val="1"/>
      <w:numFmt w:val="bullet"/>
      <w:lvlText w:val="•"/>
      <w:lvlJc w:val="left"/>
      <w:pPr>
        <w:tabs>
          <w:tab w:val="num" w:pos="3600"/>
        </w:tabs>
        <w:ind w:left="3600" w:hanging="360"/>
      </w:pPr>
      <w:rPr>
        <w:rFonts w:ascii="Arial" w:hAnsi="Arial" w:hint="default"/>
      </w:rPr>
    </w:lvl>
    <w:lvl w:ilvl="5" w:tplc="6E8C788A" w:tentative="1">
      <w:start w:val="1"/>
      <w:numFmt w:val="bullet"/>
      <w:lvlText w:val="•"/>
      <w:lvlJc w:val="left"/>
      <w:pPr>
        <w:tabs>
          <w:tab w:val="num" w:pos="4320"/>
        </w:tabs>
        <w:ind w:left="4320" w:hanging="360"/>
      </w:pPr>
      <w:rPr>
        <w:rFonts w:ascii="Arial" w:hAnsi="Arial" w:hint="default"/>
      </w:rPr>
    </w:lvl>
    <w:lvl w:ilvl="6" w:tplc="D8746258" w:tentative="1">
      <w:start w:val="1"/>
      <w:numFmt w:val="bullet"/>
      <w:lvlText w:val="•"/>
      <w:lvlJc w:val="left"/>
      <w:pPr>
        <w:tabs>
          <w:tab w:val="num" w:pos="5040"/>
        </w:tabs>
        <w:ind w:left="5040" w:hanging="360"/>
      </w:pPr>
      <w:rPr>
        <w:rFonts w:ascii="Arial" w:hAnsi="Arial" w:hint="default"/>
      </w:rPr>
    </w:lvl>
    <w:lvl w:ilvl="7" w:tplc="2F6C86CA" w:tentative="1">
      <w:start w:val="1"/>
      <w:numFmt w:val="bullet"/>
      <w:lvlText w:val="•"/>
      <w:lvlJc w:val="left"/>
      <w:pPr>
        <w:tabs>
          <w:tab w:val="num" w:pos="5760"/>
        </w:tabs>
        <w:ind w:left="5760" w:hanging="360"/>
      </w:pPr>
      <w:rPr>
        <w:rFonts w:ascii="Arial" w:hAnsi="Arial" w:hint="default"/>
      </w:rPr>
    </w:lvl>
    <w:lvl w:ilvl="8" w:tplc="7880659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39"/>
    <w:rsid w:val="001520D8"/>
    <w:rsid w:val="001E73BE"/>
    <w:rsid w:val="002C1D32"/>
    <w:rsid w:val="004E19C5"/>
    <w:rsid w:val="0050247C"/>
    <w:rsid w:val="00567AD3"/>
    <w:rsid w:val="00672922"/>
    <w:rsid w:val="00695F88"/>
    <w:rsid w:val="008046DB"/>
    <w:rsid w:val="00833155"/>
    <w:rsid w:val="00833AAE"/>
    <w:rsid w:val="008879F9"/>
    <w:rsid w:val="009C61C5"/>
    <w:rsid w:val="009E01B2"/>
    <w:rsid w:val="00C30D51"/>
    <w:rsid w:val="00C83554"/>
    <w:rsid w:val="00CD10AF"/>
    <w:rsid w:val="00D300BD"/>
    <w:rsid w:val="00DC6717"/>
    <w:rsid w:val="00DE0309"/>
    <w:rsid w:val="00E06187"/>
    <w:rsid w:val="00E4003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46E9"/>
  <w15:chartTrackingRefBased/>
  <w15:docId w15:val="{919E8B90-F7F5-4E1E-84B1-7BC80FC5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059643">
      <w:bodyDiv w:val="1"/>
      <w:marLeft w:val="0"/>
      <w:marRight w:val="0"/>
      <w:marTop w:val="0"/>
      <w:marBottom w:val="0"/>
      <w:divBdr>
        <w:top w:val="none" w:sz="0" w:space="0" w:color="auto"/>
        <w:left w:val="none" w:sz="0" w:space="0" w:color="auto"/>
        <w:bottom w:val="none" w:sz="0" w:space="0" w:color="auto"/>
        <w:right w:val="none" w:sz="0" w:space="0" w:color="auto"/>
      </w:divBdr>
    </w:div>
    <w:div w:id="1518428462">
      <w:bodyDiv w:val="1"/>
      <w:marLeft w:val="0"/>
      <w:marRight w:val="0"/>
      <w:marTop w:val="0"/>
      <w:marBottom w:val="0"/>
      <w:divBdr>
        <w:top w:val="none" w:sz="0" w:space="0" w:color="auto"/>
        <w:left w:val="none" w:sz="0" w:space="0" w:color="auto"/>
        <w:bottom w:val="none" w:sz="0" w:space="0" w:color="auto"/>
        <w:right w:val="none" w:sz="0" w:space="0" w:color="auto"/>
      </w:divBdr>
      <w:divsChild>
        <w:div w:id="173430613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15</cp:revision>
  <dcterms:created xsi:type="dcterms:W3CDTF">2021-02-12T14:54:00Z</dcterms:created>
  <dcterms:modified xsi:type="dcterms:W3CDTF">2021-02-14T19:04:00Z</dcterms:modified>
</cp:coreProperties>
</file>