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 wg odpisu księgi wieczystej.</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