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Lokal mieszkalny o powierzchni użytkowej {powierzchnia} m2. Szczegółowy opis układu funkcjonalnego zostanie uzupełniony po oględzinach.</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w:t>
      </w:r>
      <w:r w:rsidRPr="002A6949">
        <w:rPr>
          <w:rFonts w:ascii="Segoe UI" w:hAnsi="Segoe UI" w:cs="Segoe UI"/>
          <w:i/>
          <w:iCs/>
          <w:sz w:val="20"/>
          <w:szCs w:val="20"/>
        </w:rPr>
        <w:t xml:space="preserve">(źródło: System Informacji Przestrzennej </w:t>
      </w:r>
      <w:r w:rsidR="0035344F" w:rsidRPr="002A6949">
        <w:rPr>
          <w:rFonts w:ascii="Segoe UI" w:hAnsi="Segoe UI" w:cs="Segoe UI"/>
          <w:i/>
          <w:iCs/>
          <w:sz w:val="20"/>
          <w:szCs w:val="20"/>
        </w:rPr>
        <w:t>miasta</w:t>
      </w:r>
      <w:r w:rsidR="008C4833" w:rsidRPr="002A6949">
        <w:rPr>
          <w:rFonts w:ascii="Segoe UI" w:hAnsi="Segoe UI" w:cs="Segoe UI"/>
          <w:i/>
          <w:iCs/>
          <w:sz w:val="20"/>
          <w:szCs w:val="20"/>
        </w:rPr>
        <w:t xml:space="preserve"> Poznania</w:t>
      </w:r>
      <w:r w:rsidR="000A0BF7" w:rsidRPr="002A6949">
        <w:rPr>
          <w:rFonts w:ascii="Segoe UI" w:hAnsi="Segoe UI" w:cs="Segoe UI"/>
          <w:i/>
          <w:iCs/>
          <w:sz w:val="20"/>
          <w:szCs w:val="20"/>
        </w:rPr>
        <w: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6CDF5DBC" w14:textId="77777777" w:rsidR="00973D82" w:rsidRPr="00644B08" w:rsidRDefault="00891AE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Analiza rynku ofertowego w celu potwierdzenia uzyskanego wyniku oraz badania relacji popytu i podaży na rynku lokalnym,</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p>
      <w:r>
        <w:t xml:space="preserve">Dokumentacja fotograficzna i kartograficzna zostanie uzupełniona po oględzinach.</w:t>
      </w: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Charakterystyka bezpośredniego otoczenia zostanie uzupełniona po oględzinach. </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14:paraId="52D2F895" w14:textId="04B317A2" w:rsidR="00ED5702" w:rsidRPr="00644B08" w:rsidRDefault="00D2046A" w:rsidP="00473D76">
      <w:pPr>
        <w:pStyle w:val="Bezodstpw"/>
        <w:spacing w:line="276" w:lineRule="auto"/>
        <w:jc w:val="both"/>
        <w:rPr>
          <w:rFonts w:ascii="Segoe UI" w:hAnsi="Segoe UI" w:cs="Segoe UI"/>
          <w:sz w:val="20"/>
          <w:szCs w:val="20"/>
        </w:rPr>
      </w:pPr>
      <w:r w:rsidRPr="00644B08">
        <w:rPr>
          <w:rFonts w:ascii="Segoe UI" w:hAnsi="Segoe UI" w:cs="Segoe UI"/>
          <w:sz w:val="20"/>
          <w:szCs w:val="20"/>
        </w:rPr>
        <w:t>Dojazd do przedmiotow</w:t>
      </w:r>
      <w:r w:rsidR="006E69E5" w:rsidRPr="00644B08">
        <w:rPr>
          <w:rFonts w:ascii="Segoe UI" w:hAnsi="Segoe UI" w:cs="Segoe UI"/>
          <w:sz w:val="20"/>
          <w:szCs w:val="20"/>
        </w:rPr>
        <w:t xml:space="preserve">ej </w:t>
      </w:r>
      <w:r w:rsidRPr="00644B08">
        <w:rPr>
          <w:rFonts w:ascii="Segoe UI" w:hAnsi="Segoe UI" w:cs="Segoe UI"/>
          <w:sz w:val="20"/>
          <w:szCs w:val="20"/>
        </w:rPr>
        <w:t xml:space="preserve">nieruchomości odbywa się komunikacją </w:t>
      </w:r>
      <w:r w:rsidR="0029698A" w:rsidRPr="00644B08">
        <w:rPr>
          <w:rFonts w:ascii="Segoe UI" w:hAnsi="Segoe UI" w:cs="Segoe UI"/>
          <w:sz w:val="20"/>
          <w:szCs w:val="20"/>
        </w:rPr>
        <w:t>miejską</w:t>
      </w:r>
      <w:r w:rsidR="00053BDB" w:rsidRPr="00644B08">
        <w:rPr>
          <w:rFonts w:ascii="Segoe UI" w:hAnsi="Segoe UI" w:cs="Segoe UI"/>
          <w:sz w:val="20"/>
          <w:szCs w:val="20"/>
        </w:rPr>
        <w:t xml:space="preserve">. </w:t>
      </w:r>
      <w:r w:rsidR="00FE4CE0" w:rsidRPr="00644B08">
        <w:rPr>
          <w:rFonts w:ascii="Segoe UI" w:hAnsi="Segoe UI" w:cs="Segoe UI"/>
          <w:sz w:val="20"/>
          <w:szCs w:val="20"/>
        </w:rPr>
        <w:t>Przystanki komunikacji publicznej w zasięgu nieruchomości</w:t>
      </w:r>
      <w:r w:rsidR="000911DE" w:rsidRPr="00644B08">
        <w:rPr>
          <w:rFonts w:ascii="Segoe UI" w:hAnsi="Segoe UI" w:cs="Segoe UI"/>
          <w:sz w:val="20"/>
          <w:szCs w:val="20"/>
        </w:rPr>
        <w:t>.</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{#kw_stub_odpis}Pełna treść odpisu KW pozostaje w dokumentacji źródłowej rzeczoznawcy.{/kw_stub_odpis}</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Stan techniczny lokalu przyjęto na podstawie oświadczenia zamawiającego oraz przeglądu dostępnej dokumentacji. Szczegółowy opis zostanie uzupełniony po oględzinach.</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Dokumentacja fotograficzna i kartograficzna zostanie uzupełniona po oględzinach.</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Lokal mieszkalny o powierzchni użytkowej {powierzchnia} m2. Szczegółowy opis układu funkcjonalnego zostanie uzupełniony po oględzinach.</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Opis zagospodarowania terenu zostanie uzupełniony po oględzinach.</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r>
        <w:t xml:space="preserve">Dokumentacja fotograficzna i kartograficzna zostanie uzupełniona po oględzinach.</w:t>
      </w: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Dla określenia wartości rynkowej prawa własności wycenianej nieruchomości lokalowej o funkcji mieszkalnej, przeprowadzono analizę rynku lokalnego ze szczególnym uwzględnieniem lokalizacji nieruchomości stanowiącej przedmiot wyceny. </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0D2A0874" w14:textId="4F0B353B" w:rsidR="00F05A9F" w:rsidRPr="0020428F" w:rsidRDefault="00F05A9F" w:rsidP="00F05A9F">
      <w:pPr>
        <w:pStyle w:val="Akapitzlist"/>
        <w:spacing w:line="276" w:lineRule="auto"/>
        <w:ind w:left="0"/>
        <w:jc w:val="both"/>
        <w:rPr>
          <w:rFonts w:ascii="Segoe UI" w:hAnsi="Segoe UI" w:cs="Segoe UI"/>
          <w:bCs/>
          <w:sz w:val="20"/>
          <w:szCs w:val="20"/>
          <w:u w:val="single"/>
        </w:rPr>
      </w:pPr>
      <w:r w:rsidRPr="0020428F">
        <w:rPr>
          <w:rFonts w:ascii="Segoe UI" w:hAnsi="Segoe UI" w:cs="Segoe UI"/>
          <w:bCs/>
          <w:sz w:val="20"/>
          <w:szCs w:val="20"/>
          <w:u w:val="single"/>
        </w:rPr>
        <w:t>Cechy analizowanego rynku:</w:t>
      </w:r>
    </w:p>
    <w:p w14:paraId="209311B3" w14:textId="56329ADD"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zakres przedmiotowy – rynek wtórny nieruchomości lokalowych o funkcji mieszkalnej</w:t>
      </w:r>
      <w:r w:rsidR="002819AC" w:rsidRPr="0020428F">
        <w:rPr>
          <w:rFonts w:ascii="Segoe UI" w:hAnsi="Segoe UI" w:cs="Segoe UI"/>
          <w:sz w:val="20"/>
          <w:szCs w:val="20"/>
        </w:rPr>
        <w:t>,</w:t>
      </w:r>
      <w:r w:rsidR="0020428F" w:rsidRPr="0020428F">
        <w:rPr>
          <w:rFonts w:ascii="Segoe UI" w:hAnsi="Segoe UI" w:cs="Segoe UI"/>
          <w:sz w:val="20"/>
          <w:szCs w:val="20"/>
        </w:rPr>
        <w:t xml:space="preserve"> położone w budynkach wybudowanych po 2000 r.,</w:t>
      </w:r>
    </w:p>
    <w:p w14:paraId="451AC569" w14:textId="4EAE7542"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obszar badania – rejon lokalizacji wycenianej nieruchomości</w:t>
      </w:r>
      <w:r w:rsidR="00263CA7" w:rsidRPr="0020428F">
        <w:rPr>
          <w:rFonts w:ascii="Segoe UI" w:hAnsi="Segoe UI" w:cs="Segoe UI"/>
          <w:sz w:val="20"/>
          <w:szCs w:val="20"/>
        </w:rPr>
        <w:t/>
      </w:r>
      <w:r w:rsidR="002B0738" w:rsidRPr="0020428F">
        <w:rPr>
          <w:rFonts w:ascii="Segoe UI" w:hAnsi="Segoe UI" w:cs="Segoe UI"/>
          <w:sz w:val="20"/>
          <w:szCs w:val="20"/>
        </w:rPr>
        <w:t/>
      </w:r>
      <w:r w:rsidRPr="0020428F">
        <w:rPr>
          <w:rFonts w:ascii="Segoe UI" w:hAnsi="Segoe UI" w:cs="Segoe UI"/>
          <w:sz w:val="20"/>
          <w:szCs w:val="20"/>
        </w:rPr>
        <w:t/>
      </w:r>
      <w:r w:rsidR="0020428F" w:rsidRPr="0020428F">
        <w:rPr>
          <w:rFonts w:ascii="Segoe UI" w:hAnsi="Segoe UI" w:cs="Segoe UI"/>
          <w:sz w:val="20"/>
          <w:szCs w:val="20"/>
        </w:rPr>
        <w:t xml:space="preserve"/>
      </w:r>
    </w:p>
    <w:p w14:paraId="74EB4AEC" w14:textId="19FB79E8" w:rsidR="002B0738" w:rsidRPr="0020428F" w:rsidRDefault="002B0738">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powierzchnia użytkowa – </w:t>
      </w:r>
      <w:r w:rsidR="0020428F" w:rsidRPr="0020428F">
        <w:rPr>
          <w:rFonts w:ascii="Segoe UI" w:hAnsi="Segoe UI" w:cs="Segoe UI"/>
          <w:sz w:val="20"/>
          <w:szCs w:val="20"/>
        </w:rPr>
        <w:t xml:space="preserve">od 50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F85FB7" w:rsidRPr="0020428F">
        <w:rPr>
          <w:rFonts w:ascii="Segoe UI" w:hAnsi="Segoe UI" w:cs="Segoe UI"/>
          <w:sz w:val="20"/>
          <w:szCs w:val="20"/>
        </w:rPr>
        <w:t xml:space="preserve">do </w:t>
      </w:r>
      <w:r w:rsidR="0020428F" w:rsidRPr="0020428F">
        <w:rPr>
          <w:rFonts w:ascii="Segoe UI" w:hAnsi="Segoe UI" w:cs="Segoe UI"/>
          <w:sz w:val="20"/>
          <w:szCs w:val="20"/>
        </w:rPr>
        <w:t>9</w:t>
      </w:r>
      <w:r w:rsidR="00F85FB7" w:rsidRPr="0020428F">
        <w:rPr>
          <w:rFonts w:ascii="Segoe UI" w:hAnsi="Segoe UI" w:cs="Segoe UI"/>
          <w:sz w:val="20"/>
          <w:szCs w:val="20"/>
        </w:rPr>
        <w:t>0</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w:t>
      </w:r>
    </w:p>
    <w:p w14:paraId="2F142EA1" w14:textId="77777777"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zakres czasowy badania – 2 lata wstecz od daty wyceny. </w:t>
      </w:r>
    </w:p>
    <w:p w14:paraId="344D9607" w14:textId="77777777" w:rsidR="00F05A9F" w:rsidRPr="00587C72" w:rsidRDefault="00F05A9F" w:rsidP="00F05A9F">
      <w:pPr>
        <w:pStyle w:val="Akapitzlist"/>
        <w:spacing w:line="276" w:lineRule="auto"/>
        <w:ind w:left="774"/>
        <w:jc w:val="both"/>
        <w:rPr>
          <w:rFonts w:ascii="Segoe UI" w:hAnsi="Segoe UI" w:cs="Segoe UI"/>
          <w:sz w:val="20"/>
          <w:szCs w:val="20"/>
          <w:highlight w:val="yellow"/>
        </w:rPr>
      </w:pPr>
    </w:p>
    <w:p w14:paraId="1F816595" w14:textId="307A98C1"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okresie monitorowania rynku lokalnego odnotowano transakcje na badanym terenie, w których wystąpiła sprzedaż nieruchomości lokalowych o funkcji mieszkalnej. Ceny transakcyjne w analizowanym segmencie wykazują zróżnicowanie zależne od standardu wykończenia, położenia oraz powierzchni lokali.</w:t>
      </w:r>
      <w:r w:rsidR="0020428F" w:rsidRPr="0020428F">
        <w:rPr>
          <w:rFonts w:ascii="Segoe UI" w:hAnsi="Segoe UI" w:cs="Segoe UI"/>
          <w:sz w:val="20"/>
          <w:szCs w:val="20"/>
        </w:rPr>
        <w:t xml:space="preserve"/>
      </w:r>
      <w:r w:rsidRPr="0020428F">
        <w:rPr>
          <w:rFonts w:ascii="Segoe UI" w:hAnsi="Segoe UI" w:cs="Segoe UI"/>
          <w:sz w:val="20"/>
          <w:szCs w:val="20"/>
        </w:rPr>
        <w:t/>
      </w:r>
      <w:r w:rsidR="0020428F" w:rsidRPr="0020428F">
        <w:rPr>
          <w:rFonts w:ascii="Segoe UI" w:hAnsi="Segoe UI" w:cs="Segoe UI"/>
          <w:sz w:val="20"/>
          <w:szCs w:val="20"/>
        </w:rPr>
        <w:t xml:space="preserve"/>
      </w:r>
      <w:r w:rsidRPr="0020428F">
        <w:rPr>
          <w:rFonts w:ascii="Segoe UI" w:hAnsi="Segoe UI" w:cs="Segoe UI"/>
          <w:sz w:val="20"/>
          <w:szCs w:val="20"/>
        </w:rPr>
        <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4222D334" w14:textId="77777777" w:rsidR="00F05A9F" w:rsidRPr="0020428F" w:rsidRDefault="00F05A9F" w:rsidP="00F05A9F">
      <w:pPr>
        <w:tabs>
          <w:tab w:val="left" w:pos="563"/>
        </w:tabs>
        <w:spacing w:line="276" w:lineRule="auto"/>
        <w:jc w:val="both"/>
        <w:rPr>
          <w:rFonts w:ascii="Segoe UI" w:hAnsi="Segoe UI" w:cs="Segoe UI"/>
          <w:sz w:val="20"/>
          <w:szCs w:val="20"/>
        </w:rPr>
      </w:pPr>
    </w:p>
    <w:p w14:paraId="4D0D5612" w14:textId="71982C09" w:rsidR="00F05A9F" w:rsidRPr="0020428F" w:rsidRDefault="00F05A9F" w:rsidP="0020428F">
      <w:pPr>
        <w:spacing w:line="276" w:lineRule="auto"/>
        <w:jc w:val="both"/>
        <w:rPr>
          <w:rFonts w:ascii="Segoe UI" w:hAnsi="Segoe UI" w:cs="Segoe UI"/>
          <w:sz w:val="20"/>
          <w:szCs w:val="20"/>
        </w:rPr>
      </w:pPr>
      <w:r w:rsidRPr="0020428F">
        <w:rPr>
          <w:rFonts w:ascii="Segoe UI" w:hAnsi="Segoe UI" w:cs="Segoe UI"/>
          <w:sz w:val="20"/>
          <w:szCs w:val="20"/>
        </w:rPr>
        <w:t xml:space="preserve">W toku analizy odrzucono nieruchomości lokalowe </w:t>
      </w:r>
      <w:r w:rsidR="0020428F" w:rsidRPr="0020428F">
        <w:rPr>
          <w:rFonts w:ascii="Segoe UI" w:hAnsi="Segoe UI" w:cs="Segoe UI"/>
          <w:sz w:val="20"/>
          <w:szCs w:val="20"/>
        </w:rPr>
        <w:t xml:space="preserve">o powierzchni użytkowej poniżej 60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2819AC" w:rsidRPr="0020428F">
        <w:rPr>
          <w:rFonts w:ascii="Segoe UI" w:hAnsi="Segoe UI" w:cs="Segoe UI"/>
          <w:sz w:val="20"/>
          <w:szCs w:val="20"/>
        </w:rPr>
        <w:t>oraz odbiegające</w:t>
      </w:r>
      <w:r w:rsidR="002B0738" w:rsidRPr="0020428F">
        <w:rPr>
          <w:rFonts w:ascii="Segoe UI" w:hAnsi="Segoe UI" w:cs="Segoe UI"/>
          <w:sz w:val="20"/>
          <w:szCs w:val="20"/>
        </w:rPr>
        <w:t xml:space="preserve"> </w:t>
      </w:r>
      <w:r w:rsidRPr="0020428F">
        <w:rPr>
          <w:rFonts w:ascii="Segoe UI" w:hAnsi="Segoe UI" w:cs="Segoe UI"/>
          <w:sz w:val="20"/>
          <w:szCs w:val="20"/>
        </w:rPr>
        <w:t>ceną od średniej ceny transakcyjnej. Powyższe transakcje nie wykazywały cech podobieństwa do przedmiotowej nieruchomości.</w:t>
      </w:r>
    </w:p>
    <w:p w14:paraId="13ABC4C3" w14:textId="77777777" w:rsidR="00F05A9F" w:rsidRPr="0020428F" w:rsidRDefault="00F05A9F" w:rsidP="00F05A9F">
      <w:pPr>
        <w:spacing w:line="276" w:lineRule="auto"/>
        <w:ind w:right="380"/>
        <w:jc w:val="both"/>
        <w:rPr>
          <w:rFonts w:ascii="Segoe UI" w:hAnsi="Segoe UI" w:cs="Segoe UI"/>
          <w:sz w:val="20"/>
          <w:szCs w:val="20"/>
        </w:rPr>
      </w:pPr>
    </w:p>
    <w:p w14:paraId="3FA8269C" w14:textId="4E4032D5"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próbie znalazły się nieruchomości lokalowe o funkcji mieszkalnej, położone w budynkach mieszkalnych o powierzchni użytkowej od 61,35 m2 do 76,41 m2. Jednostkowe ceny transakcyjne lokali mieszkalnych znajdowały się w przedziale od {cena_min} zł do {cena_max} zł za 1 m2 powierzchni użytkowej lokalu. Średnia cena została ustalona na poziomie {cena_sr} zł za 1 m2.</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B0738"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30DE0A3C" w14:textId="77777777" w:rsidR="00F05A9F" w:rsidRPr="00587C72" w:rsidRDefault="00F05A9F" w:rsidP="00F05A9F">
      <w:pPr>
        <w:tabs>
          <w:tab w:val="left" w:pos="563"/>
        </w:tabs>
        <w:spacing w:line="276" w:lineRule="auto"/>
        <w:jc w:val="both"/>
        <w:rPr>
          <w:rFonts w:ascii="Segoe UI" w:hAnsi="Segoe UI" w:cs="Segoe UI"/>
          <w:sz w:val="20"/>
          <w:szCs w:val="20"/>
          <w:highlight w:val="yellow"/>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W </w:t>
      </w:r>
      <w:bookmarkStart w:id="54" w:name="_Hlk204162314"/>
      <w:r w:rsidRPr="0020428F">
        <w:rPr>
          <w:rFonts w:ascii="Segoe UI" w:hAnsi="Segoe UI" w:cs="Segoe UI"/>
          <w:bCs/>
          <w:sz w:val="20"/>
          <w:szCs w:val="20"/>
        </w:rPr>
        <w:t xml:space="preserve">badanym okresie zauważalne są wahania rynku, jednakże nie są to wahania znaczne wskazujące konkretnie na wzrost lub spadek cen. Z uwagi na brak oparcia w aktualnych realiach rynkowych, nie jest możliwym stwierdzenie, czy rynek odpowiada na aktualną sytuację wzrostem czy stagnacją cen. </w:t>
      </w:r>
      <w:r w:rsidRPr="0020428F">
        <w:rPr>
          <w:rFonts w:ascii="Segoe UI" w:hAnsi="Segoe UI" w:cs="Segoe UI"/>
          <w:bCs/>
          <w:sz w:val="20"/>
          <w:szCs w:val="20"/>
        </w:rPr>
        <w:br/>
        <w:t>W świetle owego scenariusza, przyjęto współczynnik zmiany cen na poziomie jedności i cen ze względu na upływ czasu nie korygowano.</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501257C9"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a powierzchnią użytkową lokalu (m</w:t>
      </w:r>
      <w:r w:rsidRPr="0020428F">
        <w:rPr>
          <w:rFonts w:ascii="Segoe UI" w:hAnsi="Segoe UI" w:cs="Segoe UI"/>
          <w:sz w:val="20"/>
          <w:szCs w:val="20"/>
          <w:vertAlign w:val="superscript"/>
        </w:rPr>
        <w:t>2</w:t>
      </w:r>
      <w:r w:rsidRPr="0020428F">
        <w:rPr>
          <w:rFonts w:ascii="Segoe UI" w:hAnsi="Segoe UI" w:cs="Segoe UI"/>
          <w:sz w:val="20"/>
          <w:szCs w:val="20"/>
        </w:rPr>
        <w:t xml:space="preserve">). Zależność ta jest odwrotnie proporcjonalna, co oznacza, że wraz ze wzrostem powierzchni użytkowej lokalu, jednostkowa cena transakcyjna spada. </w:t>
      </w:r>
    </w:p>
    <w:p w14:paraId="2DDEDDB7" w14:textId="36412598"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lastRenderedPageBreak/>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xml:space="preserve">) a położeniem lokalu na piętrze. Zależność ta jest </w:t>
      </w:r>
      <w:r w:rsidR="000C6F07" w:rsidRPr="0020428F">
        <w:rPr>
          <w:rFonts w:ascii="Segoe UI" w:hAnsi="Segoe UI" w:cs="Segoe UI"/>
          <w:sz w:val="20"/>
          <w:szCs w:val="20"/>
        </w:rPr>
        <w:t>wprost</w:t>
      </w:r>
      <w:r w:rsidRPr="0020428F">
        <w:rPr>
          <w:rFonts w:ascii="Segoe UI" w:hAnsi="Segoe UI" w:cs="Segoe UI"/>
          <w:sz w:val="20"/>
          <w:szCs w:val="20"/>
        </w:rPr>
        <w:t xml:space="preserve"> proporcjonalna, co oznacza, że lokale mieszkalne położone na wyższych piętrach wykazują </w:t>
      </w:r>
      <w:r w:rsidR="000C6F07" w:rsidRPr="0020428F">
        <w:rPr>
          <w:rFonts w:ascii="Segoe UI" w:hAnsi="Segoe UI" w:cs="Segoe UI"/>
          <w:sz w:val="20"/>
          <w:szCs w:val="20"/>
        </w:rPr>
        <w:t>wyższe</w:t>
      </w:r>
      <w:r w:rsidRPr="0020428F">
        <w:rPr>
          <w:rFonts w:ascii="Segoe UI" w:hAnsi="Segoe UI" w:cs="Segoe UI"/>
          <w:sz w:val="20"/>
          <w:szCs w:val="20"/>
        </w:rPr>
        <w:t xml:space="preserve"> jednostkowe ceny transakcyjne.</w:t>
      </w:r>
    </w:p>
    <w:p w14:paraId="59EC74A5"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Na podstawie analizy transakcji lokali o funkcji mieszkalnej będących przedmiotem prawa własności, wskazano najważniejsze czynniki, które kształtują ich wartość. Jako cechy różniące występujące</w:t>
      </w:r>
      <w:r w:rsidR="00263CA7" w:rsidRPr="0020428F">
        <w:rPr>
          <w:rFonts w:ascii="Segoe UI" w:hAnsi="Segoe UI" w:cs="Segoe UI"/>
          <w:sz w:val="20"/>
          <w:szCs w:val="20"/>
        </w:rPr>
        <w:t xml:space="preserve"> </w:t>
      </w:r>
      <w:r w:rsidR="00FB36E4" w:rsidRPr="0020428F">
        <w:rPr>
          <w:rFonts w:ascii="Segoe UI" w:hAnsi="Segoe UI" w:cs="Segoe UI"/>
          <w:sz w:val="20"/>
          <w:szCs w:val="20"/>
        </w:rPr>
        <w:br/>
      </w:r>
      <w:r w:rsidRPr="0020428F">
        <w:rPr>
          <w:rFonts w:ascii="Segoe UI" w:hAnsi="Segoe UI" w:cs="Segoe UI"/>
          <w:sz w:val="20"/>
          <w:szCs w:val="20"/>
        </w:rPr>
        <w:t xml:space="preserve">w zebranej próbie, a mogące mieć wpływ na ich cenę wskazano: </w:t>
      </w:r>
      <w:r w:rsidR="002819AC" w:rsidRPr="0020428F">
        <w:rPr>
          <w:rFonts w:ascii="Segoe UI" w:hAnsi="Segoe UI" w:cs="Segoe UI"/>
          <w:sz w:val="20"/>
          <w:szCs w:val="20"/>
        </w:rPr>
        <w:t xml:space="preserve">standard wykończenia, </w:t>
      </w:r>
      <w:r w:rsidR="00263CA7" w:rsidRPr="0020428F">
        <w:rPr>
          <w:rFonts w:ascii="Segoe UI" w:hAnsi="Segoe UI" w:cs="Segoe UI"/>
          <w:sz w:val="20"/>
          <w:szCs w:val="20"/>
        </w:rPr>
        <w:t>położenie na piętrze</w:t>
      </w:r>
      <w:r w:rsidR="0020428F" w:rsidRPr="0020428F">
        <w:rPr>
          <w:rFonts w:ascii="Segoe UI" w:hAnsi="Segoe UI" w:cs="Segoe UI"/>
          <w:sz w:val="20"/>
          <w:szCs w:val="20"/>
        </w:rPr>
        <w:t xml:space="preserve">, </w:t>
      </w:r>
      <w:r w:rsidR="0020428F" w:rsidRPr="0020428F">
        <w:rPr>
          <w:rFonts w:ascii="Segoe UI" w:hAnsi="Segoe UI" w:cs="Segoe UI"/>
          <w:sz w:val="20"/>
          <w:szCs w:val="20"/>
        </w:rPr>
        <w:t xml:space="preserve">powierzchnię użytkową, </w:t>
      </w:r>
      <w:r w:rsidR="0020428F" w:rsidRPr="0020428F">
        <w:rPr>
          <w:rFonts w:ascii="Segoe UI" w:hAnsi="Segoe UI" w:cs="Segoe UI"/>
          <w:sz w:val="20"/>
          <w:szCs w:val="20"/>
        </w:rPr>
        <w:t>dodatkowe</w:t>
      </w:r>
      <w:r w:rsidR="000C6F07" w:rsidRPr="0020428F">
        <w:rPr>
          <w:rFonts w:ascii="Segoe UI" w:hAnsi="Segoe UI" w:cs="Segoe UI"/>
          <w:sz w:val="20"/>
          <w:szCs w:val="20"/>
        </w:rPr>
        <w:t xml:space="preserve"> oraz </w:t>
      </w:r>
      <w:r w:rsidR="0020428F" w:rsidRPr="0020428F">
        <w:rPr>
          <w:rFonts w:ascii="Segoe UI" w:hAnsi="Segoe UI" w:cs="Segoe UI"/>
          <w:sz w:val="20"/>
          <w:szCs w:val="20"/>
        </w:rPr>
        <w:t>lokalizację szczegółową</w:t>
      </w:r>
      <w:r w:rsidR="000C6F07" w:rsidRPr="0020428F">
        <w:rPr>
          <w:rFonts w:ascii="Segoe UI" w:hAnsi="Segoe UI" w:cs="Segoe UI"/>
          <w:sz w:val="20"/>
          <w:szCs w:val="20"/>
        </w:rPr>
        <w:t>.</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r>
              <w:t>{#poziomy}</w:t>
            </w:r>
          </w:p>
          <w:p>
            <w:r>
              <w:t>{poziom} – {def}.</w:t>
            </w:r>
          </w:p>
          <w:p>
            <w:r>
              <w:t>{/poziomy}</w:t>
            </w:r>
          </w:p>
          <w:p>
            <w:r>
              <w:t>{/skala_ocen}</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Kryterium wyboru lokali mieszkalnych przyjętych do porównań były cechy rynkowe zgodnie z ich wagą, czyli kolejno: standard wykończenia, położenie na piętrze</w:t>
      </w:r>
      <w:r w:rsidR="00CD3FD2" w:rsidRPr="00CD3FD2">
        <w:rPr>
          <w:rFonts w:ascii="Segoe UI" w:hAnsi="Segoe UI" w:cs="Segoe UI"/>
          <w:sz w:val="20"/>
          <w:szCs w:val="20"/>
        </w:rPr>
        <w:t>, powierzchnia użytkowa, dodatkowe oraz lokalizacja szczegółowa</w:t>
      </w:r>
      <w:r w:rsidRPr="00CD3FD2">
        <w:rPr>
          <w:rFonts w:ascii="Segoe UI" w:hAnsi="Segoe UI" w:cs="Segoe UI"/>
          <w:sz w:val="20"/>
          <w:szCs w:val="20"/>
        </w:rPr>
        <w:t xml:space="preserve">. Zgodnie z powyższym, podobieństwo nieruchomości sformułowano za pomocą 5 atrybutów. </w:t>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Wyceniana nieruchomość mieści się w zbiorze zebranych transakcji, co jest adekwatne w stosunku do sytuacji na lokalnym rynku nieruchomości. Ponadto, dokonano analizy rynku ofertowego lokali mieszkalnych, położonych w rejonie wycenianej nieruchomości. Jednostkowe ceny transakcyjne w analizowanym zbiorze znajdowały się w przedziale od {cena_min} zł/m2 do {cena_max} zł/m2. Należy podkreślić, iż ceny ofertowe podlegają negocjacjom cenowym. Reasumując, wynik uznaje się za bliski cenie możliwej do osiągnięcia w obrocie nieruchomościami na rynku lokalnym, potwierdzony i uzasadniony.</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p>
      <w:r>
        <w:t xml:space="preserve">Dokumentacja fotograficzna i kartograficzna zostanie uzupełniona po oględzinach.</w:t>
      </w: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