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Pełna treść odpisu KW pozostaje w dokumentacji źródłowej rzeczoznawcy.</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Wobec powyższego, przeznaczenie przedmiotowego terenu ustalono na podstawie zapisów obowiązującego miejscowego planu zagospodarowania przestrzennego. Szczegółowe oznaczenie planistyczne zostanie uzupełnione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Na podstawie analizy transakcji lokali o funkcji mieszkalnej będących przedmiotem prawa własności, wskazano najważniejsze czynniki, które kształtują ich wartość. Jako cechy różniące występujące</w:t>
      </w:r>
      <w:r w:rsidR="00263CA7" w:rsidRPr="0020428F">
        <w:rPr>
          <w:rFonts w:ascii="Segoe UI" w:hAnsi="Segoe UI" w:cs="Segoe UI"/>
          <w:sz w:val="20"/>
          <w:szCs w:val="20"/>
        </w:rPr>
        <w:t xml:space="preserve"> </w:t>
      </w:r>
      <w:r w:rsidR="00FB36E4" w:rsidRPr="0020428F">
        <w:rPr>
          <w:rFonts w:ascii="Segoe UI" w:hAnsi="Segoe UI" w:cs="Segoe UI"/>
          <w:sz w:val="20"/>
          <w:szCs w:val="20"/>
        </w:rPr>
        <w:br/>
      </w:r>
      <w:r w:rsidRPr="0020428F">
        <w:rPr>
          <w:rFonts w:ascii="Segoe UI" w:hAnsi="Segoe UI" w:cs="Segoe UI"/>
          <w:sz w:val="20"/>
          <w:szCs w:val="20"/>
        </w:rPr>
        <w:t xml:space="preserve">w zebranej próbie, a mogące mieć wpływ na ich cenę wskazano: </w:t>
      </w:r>
      <w:r w:rsidR="002819AC" w:rsidRPr="0020428F">
        <w:rPr>
          <w:rFonts w:ascii="Segoe UI" w:hAnsi="Segoe UI" w:cs="Segoe UI"/>
          <w:sz w:val="20"/>
          <w:szCs w:val="20"/>
        </w:rPr>
        <w:t xml:space="preserve">standard wykończenia, </w:t>
      </w:r>
      <w:r w:rsidR="00263CA7" w:rsidRPr="0020428F">
        <w:rPr>
          <w:rFonts w:ascii="Segoe UI" w:hAnsi="Segoe UI" w:cs="Segoe UI"/>
          <w:sz w:val="20"/>
          <w:szCs w:val="20"/>
        </w:rPr>
        <w:t>położenie na piętrze</w:t>
      </w:r>
      <w:r w:rsidR="0020428F" w:rsidRPr="0020428F">
        <w:rPr>
          <w:rFonts w:ascii="Segoe UI" w:hAnsi="Segoe UI" w:cs="Segoe UI"/>
          <w:sz w:val="20"/>
          <w:szCs w:val="20"/>
        </w:rPr>
        <w:t xml:space="preserve">, </w:t>
      </w:r>
      <w:r w:rsidR="0020428F" w:rsidRPr="0020428F">
        <w:rPr>
          <w:rFonts w:ascii="Segoe UI" w:hAnsi="Segoe UI" w:cs="Segoe UI"/>
          <w:sz w:val="20"/>
          <w:szCs w:val="20"/>
        </w:rPr>
        <w:t xml:space="preserve">powierzchnię użytkową, </w:t>
      </w:r>
      <w:r w:rsidR="0020428F" w:rsidRPr="0020428F">
        <w:rPr>
          <w:rFonts w:ascii="Segoe UI" w:hAnsi="Segoe UI" w:cs="Segoe UI"/>
          <w:sz w:val="20"/>
          <w:szCs w:val="20"/>
        </w:rPr>
        <w:t>dodatkowe</w:t>
      </w:r>
      <w:r w:rsidR="000C6F07" w:rsidRPr="0020428F">
        <w:rPr>
          <w:rFonts w:ascii="Segoe UI" w:hAnsi="Segoe UI" w:cs="Segoe UI"/>
          <w:sz w:val="20"/>
          <w:szCs w:val="20"/>
        </w:rPr>
        <w:t xml:space="preserve"> oraz </w:t>
      </w:r>
      <w:r w:rsidR="0020428F" w:rsidRPr="0020428F">
        <w:rPr>
          <w:rFonts w:ascii="Segoe UI" w:hAnsi="Segoe UI" w:cs="Segoe UI"/>
          <w:sz w:val="20"/>
          <w:szCs w:val="20"/>
        </w:rPr>
        <w:t>lokalizację szczegółową</w:t>
      </w:r>
      <w:r w:rsidR="000C6F07" w:rsidRPr="0020428F">
        <w:rPr>
          <w:rFonts w:ascii="Segoe UI" w:hAnsi="Segoe UI" w:cs="Segoe UI"/>
          <w:sz w:val="20"/>
          <w:szCs w:val="20"/>
        </w:rPr>
        <w:t>.</w:t>
      </w:r>
    </w:p>
    <w:p w14:paraId="23C5C482" w14:textId="77777777" w:rsidR="00F05A9F" w:rsidRPr="00CD3FD2" w:rsidRDefault="00F05A9F" w:rsidP="00F05A9F">
      <w:pPr>
        <w:spacing w:line="276" w:lineRule="auto"/>
        <w:jc w:val="both"/>
        <w:rPr>
          <w:rFonts w:ascii="Segoe UI" w:hAnsi="Segoe UI" w:cs="Segoe UI"/>
          <w:sz w:val="20"/>
          <w:szCs w:val="20"/>
        </w:rPr>
      </w:pP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Standard wykończenia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standard dobry, wykończenie materiałami lepszej jakości</w:t>
            </w:r>
          </w:p>
          <w:p w14:paraId="74AA0EAA" w14:textId="2787482E" w:rsidR="002819AC" w:rsidRPr="0020428F" w:rsidRDefault="002819AC"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 standard dobry, wykończenie materiałami dobrej jakości</w:t>
            </w:r>
          </w:p>
        </w:tc>
      </w:tr>
      <w:tr w:rsidR="0020428F" w:rsidRPr="0020428F" w14:paraId="6D424574" w14:textId="77777777" w:rsidTr="00105961">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p w14:paraId="309A31E0" w14:textId="308C63D2"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Położenie na piętrze</w:t>
            </w:r>
          </w:p>
        </w:tc>
        <w:tc>
          <w:tcPr>
            <w:tcW w:w="5191" w:type="dxa"/>
            <w:tcBorders>
              <w:top w:val="single" w:sz="4" w:space="0" w:color="BFBFBF"/>
              <w:left w:val="single" w:sz="4" w:space="0" w:color="BFBFBF"/>
              <w:bottom w:val="single" w:sz="4" w:space="0" w:color="BFBFBF"/>
              <w:right w:val="single" w:sz="4" w:space="0" w:color="BFBFBF"/>
            </w:tcBorders>
          </w:tcPr>
          <w:p w14:paraId="14DE429D" w14:textId="4451573D" w:rsidR="0020428F" w:rsidRPr="0020428F" w:rsidRDefault="0020428F"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4</w:t>
            </w:r>
            <w:r w:rsidRPr="0020428F">
              <w:rPr>
                <w:rFonts w:ascii="Segoe UI" w:hAnsi="Segoe UI" w:cs="Segoe UI"/>
                <w:bCs/>
                <w:sz w:val="18"/>
                <w:szCs w:val="18"/>
              </w:rPr>
              <w:t xml:space="preserve"> piętro i powyżej</w:t>
            </w:r>
          </w:p>
          <w:p w14:paraId="2DAE33EA" w14:textId="6824EAEC"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przeciętna </w:t>
            </w:r>
            <w:r w:rsidRPr="0020428F">
              <w:rPr>
                <w:rFonts w:ascii="Segoe UI" w:hAnsi="Segoe UI" w:cs="Segoe UI"/>
                <w:bCs/>
                <w:sz w:val="18"/>
                <w:szCs w:val="18"/>
              </w:rPr>
              <w:t xml:space="preserve">– </w:t>
            </w:r>
            <w:r w:rsidRPr="0020428F">
              <w:rPr>
                <w:rFonts w:ascii="Segoe UI" w:hAnsi="Segoe UI" w:cs="Segoe UI"/>
                <w:bCs/>
                <w:sz w:val="18"/>
                <w:szCs w:val="18"/>
              </w:rPr>
              <w:t>piętra pośrednie</w:t>
            </w:r>
          </w:p>
          <w:p w14:paraId="2678397D" w14:textId="1AEA2F9B"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gorsza </w:t>
            </w:r>
            <w:r w:rsidRPr="0020428F">
              <w:rPr>
                <w:rFonts w:ascii="Segoe UI" w:hAnsi="Segoe UI" w:cs="Segoe UI"/>
                <w:bCs/>
                <w:sz w:val="18"/>
                <w:szCs w:val="18"/>
              </w:rPr>
              <w:t>– parter</w:t>
            </w:r>
          </w:p>
        </w:tc>
      </w:tr>
      <w:tr w:rsidR="00263CA7" w:rsidRPr="0020428F" w14:paraId="0BD249AE" w14:textId="77777777" w:rsidTr="00263CA7">
        <w:trPr>
          <w:trHeight w:val="845"/>
        </w:trPr>
        <w:tc>
          <w:tcPr>
            <w:tcW w:w="3881" w:type="dxa"/>
            <w:tcBorders>
              <w:top w:val="single" w:sz="4" w:space="0" w:color="BFBFBF"/>
              <w:left w:val="single" w:sz="4" w:space="0" w:color="BFBFBF"/>
              <w:bottom w:val="single" w:sz="4" w:space="0" w:color="BFBFBF"/>
              <w:right w:val="single" w:sz="4" w:space="0" w:color="BFBFBF"/>
            </w:tcBorders>
            <w:vAlign w:val="center"/>
          </w:tcPr>
          <w:p w14:paraId="6D5A6AB2" w14:textId="0E32210E" w:rsidR="00263CA7" w:rsidRPr="0020428F" w:rsidRDefault="00263CA7" w:rsidP="00263CA7">
            <w:pPr>
              <w:spacing w:before="60" w:after="60"/>
              <w:jc w:val="center"/>
              <w:rPr>
                <w:rFonts w:ascii="Segoe UI" w:hAnsi="Segoe UI" w:cs="Segoe UI"/>
                <w:b/>
                <w:sz w:val="18"/>
                <w:szCs w:val="18"/>
              </w:rPr>
            </w:pPr>
            <w:r w:rsidRPr="0020428F">
              <w:rPr>
                <w:rFonts w:ascii="Segoe UI" w:hAnsi="Segoe UI" w:cs="Segoe UI"/>
                <w:b/>
                <w:sz w:val="18"/>
                <w:szCs w:val="18"/>
              </w:rPr>
              <w:t>Powierzchnia użytkowa</w:t>
            </w:r>
          </w:p>
        </w:tc>
        <w:tc>
          <w:tcPr>
            <w:tcW w:w="5191" w:type="dxa"/>
            <w:tcBorders>
              <w:top w:val="single" w:sz="4" w:space="0" w:color="BFBFBF"/>
              <w:left w:val="single" w:sz="4" w:space="0" w:color="BFBFBF"/>
              <w:bottom w:val="single" w:sz="4" w:space="0" w:color="BFBFBF"/>
              <w:right w:val="single" w:sz="4" w:space="0" w:color="BFBFBF"/>
            </w:tcBorders>
          </w:tcPr>
          <w:p w14:paraId="2B669B5F" w14:textId="328DD114"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 xml:space="preserve">lepsza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niżej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r w:rsidRPr="0020428F">
              <w:rPr>
                <w:rFonts w:ascii="Segoe UI" w:hAnsi="Segoe UI" w:cs="Segoe UI"/>
                <w:b/>
                <w:bCs/>
                <w:sz w:val="18"/>
                <w:szCs w:val="18"/>
              </w:rPr>
              <w:t xml:space="preserve"> </w:t>
            </w:r>
          </w:p>
          <w:p w14:paraId="40BC1DDC" w14:textId="25E3FD19"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gorsza</w:t>
            </w:r>
            <w:r w:rsidR="00FB36E4" w:rsidRPr="0020428F">
              <w:rPr>
                <w:rFonts w:ascii="Segoe UI" w:hAnsi="Segoe UI" w:cs="Segoe UI"/>
                <w:b/>
                <w:bCs/>
                <w:sz w:val="18"/>
                <w:szCs w:val="18"/>
              </w:rPr>
              <w:t xml:space="preserve">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wyżej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p>
        </w:tc>
      </w:tr>
      <w:tr w:rsidR="000C6F07" w:rsidRPr="0020428F" w14:paraId="08175949" w14:textId="77777777" w:rsidTr="00263CA7">
        <w:trPr>
          <w:trHeight w:val="60"/>
        </w:trPr>
        <w:tc>
          <w:tcPr>
            <w:tcW w:w="3881" w:type="dxa"/>
            <w:tcBorders>
              <w:top w:val="single" w:sz="4" w:space="0" w:color="BFBFBF"/>
              <w:left w:val="single" w:sz="4" w:space="0" w:color="BFBFBF"/>
              <w:bottom w:val="single" w:sz="4" w:space="0" w:color="BFBFBF"/>
              <w:right w:val="single" w:sz="4" w:space="0" w:color="BFBFBF"/>
            </w:tcBorders>
            <w:vAlign w:val="center"/>
          </w:tcPr>
          <w:p w14:paraId="242DDDF7" w14:textId="516D3732" w:rsidR="000C6F07" w:rsidRPr="0020428F" w:rsidRDefault="0020428F" w:rsidP="00263CA7">
            <w:pPr>
              <w:spacing w:before="60" w:after="60"/>
              <w:jc w:val="center"/>
              <w:rPr>
                <w:rFonts w:ascii="Segoe UI" w:hAnsi="Segoe UI" w:cs="Segoe UI"/>
                <w:b/>
                <w:sz w:val="18"/>
                <w:szCs w:val="18"/>
              </w:rPr>
            </w:pPr>
            <w:r w:rsidRPr="0020428F">
              <w:rPr>
                <w:rFonts w:ascii="Segoe UI" w:hAnsi="Segoe UI" w:cs="Segoe UI"/>
                <w:b/>
                <w:sz w:val="18"/>
                <w:szCs w:val="18"/>
              </w:rPr>
              <w:t>Dodatkowe</w:t>
            </w:r>
          </w:p>
        </w:tc>
        <w:tc>
          <w:tcPr>
            <w:tcW w:w="5191" w:type="dxa"/>
            <w:tcBorders>
              <w:top w:val="single" w:sz="4" w:space="0" w:color="BFBFBF"/>
              <w:left w:val="single" w:sz="4" w:space="0" w:color="BFBFBF"/>
              <w:bottom w:val="single" w:sz="4" w:space="0" w:color="BFBFBF"/>
              <w:right w:val="single" w:sz="4" w:space="0" w:color="BFBFBF"/>
            </w:tcBorders>
          </w:tcPr>
          <w:p w14:paraId="3CFF3F82" w14:textId="65CAF8E3" w:rsidR="000C6F07" w:rsidRPr="0020428F" w:rsidRDefault="000C6F07" w:rsidP="001B2E27">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xml:space="preserve">– </w:t>
            </w:r>
            <w:r w:rsidR="0020428F" w:rsidRPr="0020428F">
              <w:rPr>
                <w:rFonts w:ascii="Segoe UI" w:hAnsi="Segoe UI" w:cs="Segoe UI"/>
                <w:bCs/>
                <w:sz w:val="18"/>
                <w:szCs w:val="18"/>
              </w:rPr>
              <w:t>prawo do wyłącznego korzystania z miejsca postojowego</w:t>
            </w:r>
          </w:p>
          <w:p w14:paraId="0EA91856" w14:textId="376F0FAA" w:rsidR="000C6F07" w:rsidRPr="0020428F" w:rsidRDefault="000C6F07" w:rsidP="001B2E27">
            <w:pPr>
              <w:spacing w:before="120" w:after="120"/>
              <w:jc w:val="center"/>
              <w:rPr>
                <w:rFonts w:ascii="Segoe UI" w:hAnsi="Segoe UI" w:cs="Segoe UI"/>
                <w:b/>
                <w:sz w:val="18"/>
                <w:szCs w:val="18"/>
              </w:rPr>
            </w:pPr>
            <w:r w:rsidRPr="0020428F">
              <w:rPr>
                <w:rFonts w:ascii="Segoe UI" w:hAnsi="Segoe UI" w:cs="Segoe UI"/>
                <w:b/>
                <w:bCs/>
                <w:sz w:val="18"/>
                <w:szCs w:val="18"/>
              </w:rPr>
              <w:t xml:space="preserve">gorsza </w:t>
            </w:r>
            <w:r w:rsidRPr="0020428F">
              <w:rPr>
                <w:rFonts w:ascii="Segoe UI" w:hAnsi="Segoe UI" w:cs="Segoe UI"/>
                <w:sz w:val="18"/>
                <w:szCs w:val="18"/>
              </w:rPr>
              <w:t xml:space="preserve">– </w:t>
            </w:r>
            <w:r w:rsidR="0020428F" w:rsidRPr="0020428F">
              <w:rPr>
                <w:rFonts w:ascii="Segoe UI" w:hAnsi="Segoe UI" w:cs="Segoe UI"/>
                <w:sz w:val="18"/>
                <w:szCs w:val="18"/>
              </w:rPr>
              <w:t>brak</w:t>
            </w:r>
          </w:p>
        </w:tc>
      </w:tr>
      <w:tr w:rsidR="0020428F" w:rsidRPr="0020428F" w14:paraId="2269A9E1" w14:textId="77777777" w:rsidTr="00CD3FD2">
        <w:trPr>
          <w:trHeight w:val="2542"/>
        </w:trPr>
        <w:tc>
          <w:tcPr>
            <w:tcW w:w="3881" w:type="dxa"/>
            <w:tcBorders>
              <w:top w:val="single" w:sz="4" w:space="0" w:color="BFBFBF"/>
              <w:left w:val="single" w:sz="4" w:space="0" w:color="BFBFBF"/>
              <w:bottom w:val="single" w:sz="4" w:space="0" w:color="BFBFBF"/>
              <w:right w:val="single" w:sz="4" w:space="0" w:color="BFBFBF"/>
            </w:tcBorders>
            <w:vAlign w:val="center"/>
          </w:tcPr>
          <w:p w14:paraId="3C7CC509" w14:textId="1B4F21C8"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Lokalizacja szczegółowa</w:t>
            </w:r>
          </w:p>
        </w:tc>
        <w:tc>
          <w:tcPr>
            <w:tcW w:w="5191" w:type="dxa"/>
            <w:tcBorders>
              <w:top w:val="single" w:sz="4" w:space="0" w:color="BFBFBF"/>
              <w:left w:val="single" w:sz="4" w:space="0" w:color="BFBFBF"/>
              <w:bottom w:val="single" w:sz="4" w:space="0" w:color="BFBFBF"/>
              <w:right w:val="single" w:sz="4" w:space="0" w:color="BFBFBF"/>
            </w:tcBorders>
            <w:vAlign w:val="center"/>
          </w:tcPr>
          <w:p w14:paraId="45CFBC04" w14:textId="77777777" w:rsidR="0020428F" w:rsidRPr="0020428F" w:rsidRDefault="0020428F" w:rsidP="0020428F">
            <w:pPr>
              <w:spacing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w bliskiej odległości od punktów handlowo – usługowych, położenie w bliskiej odległości od często uczęszczanych szlaków komunikacyjnych</w:t>
            </w:r>
          </w:p>
          <w:p w14:paraId="199FCC34" w14:textId="4D6CAE6F"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i terenów zielonych, w biskiej odległości                     od punktów handlowo – usługowych, położenie w dalszej odległości od często uczęszczanych szlaków komunikacyjnych</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Charakterystyka wycenianego lokalu mieszalnego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Kryterium wyboru lokali mieszkalnych przyjętych do porównań były cechy rynkowe zgodnie z ich wagą, czyli kolejno: standard wykończenia, położenie na piętrze</w:t>
      </w:r>
      <w:r w:rsidR="00CD3FD2" w:rsidRPr="00CD3FD2">
        <w:rPr>
          <w:rFonts w:ascii="Segoe UI" w:hAnsi="Segoe UI" w:cs="Segoe UI"/>
          <w:sz w:val="20"/>
          <w:szCs w:val="20"/>
        </w:rPr>
        <w:t>, powierzchnia użytkowa, dodatkowe oraz lokalizacja szczegółowa</w:t>
      </w:r>
      <w:r w:rsidRPr="00CD3FD2">
        <w:rPr>
          <w:rFonts w:ascii="Segoe UI" w:hAnsi="Segoe UI" w:cs="Segoe UI"/>
          <w:sz w:val="20"/>
          <w:szCs w:val="20"/>
        </w:rPr>
        <w:t xml:space="preserve">. Zgodnie z powyższym, podobieństwo nieruchomości sformułowano za pomocą 5 atrybutów. </w:t>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DA81D-216C-4681-A79C-B23F1A38B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Audytor</dc:creator>
  <cp:keywords/>
  <cp:lastModifiedBy>Kinga Ksobiak</cp:lastModifiedBy>
  <cp:revision>25</cp:revision>
  <cp:lastPrinted>2025-11-06T11:30:00Z</cp:lastPrinted>
  <dcterms:created xsi:type="dcterms:W3CDTF">2025-05-23T10:03:00Z</dcterms:created>
  <dcterms:modified xsi:type="dcterms:W3CDTF">2026-04-01T12:12:00Z</dcterms:modified>
</cp:coreProperties>
</file>