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{#mpzp}Dla przedmiotowego terenu obowiązuje miejscowy plan zagospodarowania przestrzennego.{/mpzp}{#mpzp_brak}Dla przedmiotowego terenu nie obowiązuje miejscowy plan zagospodarowania przestrzennego, nie ujawniono także informacji dotyczącej wydania decyzji o warunkach zabudowy.{/mpzp_brak}</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{#mpzp_brak}{#ma_przeznaczenie_studium}Przeznaczenie określono na podstawie studium uwarunkowań i kierunków zagospodarowania przestrzennego lub decyzji o warunkach zabudowy: {przeznaczenie_studium}.{/ma_przeznaczenie_studium}{/mpzp_brak}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