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r>
        <w:t xml:space="preserve">{#foto_otoczenie}</w:t>
      </w:r>
    </w:p>
    <w:p>
      <w:pPr>
        <w:jc w:val="center"/>
      </w:pPr>
      <w:r>
        <w:t xml:space="preserve">{%img}</w:t>
      </w:r>
    </w:p>
    <w:p>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r>
        <w:t xml:space="preserve">{#foto_budynek}</w:t>
      </w:r>
    </w:p>
    <w:p>
      <w:pPr>
        <w:jc w:val="center"/>
      </w:pPr>
      <w:r>
        <w:t xml:space="preserve">{%img}</w:t>
      </w:r>
    </w:p>
    <w:p>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r>
        <w:t xml:space="preserve">{#foto_wnetrza}</w:t>
      </w:r>
    </w:p>
    <w:p>
      <w:pPr>
        <w:jc w:val="center"/>
      </w:pPr>
      <w:r>
        <w:t xml:space="preserve">{%img}</w:t>
      </w:r>
    </w:p>
    <w:p>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lokali o funkcji mieszkalnej będących przedmiotem prawa własności,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2628"/>
        <w:gridCol w:w="1276"/>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2628"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1276"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2628"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1276"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