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r>
              <w:t xml:space="preserve">{#ma_kw}</w:t>
            </w:r>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p>
            <w:r>
              <w:t xml:space="preserve">{/ma_kw}</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{#ma_kw}Dla {#prawo_wlasnosc}nieruchomości lokalowej o funkcji mieszkalnej{/prawo_wlasnosc}{#prawo_spoldzielcze}lokalu mieszkalnego{/prawo_spoldzielcze} Sąd Rejonowy Poznań – Stare Miasto w Poznaniu prowadzi księgę wieczystą nr {nr_kw}.{/ma_kw}{#kw_brak}{klauzula_brak_kw}{/kw_brak}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 {#kw_stub_odpis}Pełna treść odpisu KW pozostaje w dokumentacji źródłowej rzeczoznawcy.{/kw_stub_odpis}{/ma_kw}{#kw_brak}{klauzula_brak_kw}{/kw_brak}</w:t>
      </w:r>
    </w:p>
    <w:p>
      <w:r>
        <w:t xml:space="preserve">{#kw_badanie}Badanie ksiąg wieczystych przeprowadzono na podstawie: {kw_zrodlo} (data dokumentu: {kw_data_dok}).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{metoda_nazwa}</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pPr>
        <w:spacing w:after="100"/>
      </w:pPr>
      <w:r>
        <w:rPr>
          <w:rFonts w:ascii="Calibri" w:hAnsi="Calibri"/>
          <w:sz w:val="22"/>
        </w:rPr>
        <w:t xml:space="preserve">{#metoda_kcs}</w:t>
      </w: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pPr>
        <w:spacing w:after="100"/>
      </w:pPr>
      <w:r>
        <w:rPr>
          <w:rFonts w:ascii="Calibri" w:hAnsi="Calibri"/>
          <w:sz w:val="22"/>
        </w:rPr>
        <w:t xml:space="preserve">{/metoda_kcs}</w:t>
      </w:r>
    </w:p>
    <w:p>
      <w:pPr>
        <w:spacing w:after="100"/>
      </w:pPr>
      <w:r>
        <w:rPr>
          <w:rFonts w:ascii="Calibri" w:hAnsi="Calibri"/>
          <w:sz w:val="22"/>
        </w:rPr>
        <w:t xml:space="preserve">{#metoda_pp}</w:t>
      </w: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porównywania parami</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Aktualizacja cen transakcyjnych na datę wyceny,</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Ustalenie cech rynkowych wpływających w sposób zasadniczy na zróżnicowanie cen na rynku nieruchomości,</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Ustalenie zakresu skali dla każdej z przyjętych cech rynkowych,</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Wybór do porównań z utworzonego zbioru nieruchomości, co najmniej trzech nieruchomości najbardziej podobnych pod względem cech rynkowych do nieruchomości stanowiącej przedmiot wyceny, z ich niezbędną charakterystyką,</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Charakterystyka wycenianej nieruchomości z przedstawieniem jej ocen w odniesieniu do przyjętej skali cech rynkowych,</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Przeprowadzenie porównań nieruchomości wycenianej kolejno z nieruchomościami wybranymi do wyceny i określenie wielkości poprawek wynikających z różnicy ocen nieruchomości wycenianej i nieruchomości wybranych do porównań,</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skorygowanej ceny transakcyjnej każdej nieruchomości przyjętej do porównań przy użyciu określonych poprawek,</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jako średniej arytmetycznej z cen transakcyjnych skorygowanych, uzyskanych z porównań w poszczególnych parach, lub średniej ważonej, jeśli wiarygodność otrzymanych wyników jest zróżnicowana,</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wartości wycenianej nieruchomości na podstawie iloczynu wartości jednostkowej i liczby jednostek porównawczych (np. m2 powierzchni gruntu, budynku czy lokalu).</w:t>
      </w:r>
    </w:p>
    <w:p>
      <w:pPr>
        <w:spacing w:after="100"/>
      </w:pPr>
      <w:r>
        <w:rPr>
          <w:rFonts w:ascii="Calibri" w:hAnsi="Calibri"/>
          <w:sz w:val="22"/>
        </w:rPr>
        <w:t xml:space="preserve">{/metoda_pp}</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{metoda_nazwa}</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{metoda_nazwa}</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pPr>
        <w:spacing w:after="100"/>
      </w:pPr>
      <w:r>
        <w:rPr>
          <w:rFonts w:ascii="Calibri" w:hAnsi="Calibri"/>
          <w:sz w:val="22"/>
        </w:rPr>
        <w:t xml:space="preserve">{#metoda_kcs}</w:t>
      </w: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1200"/>
        <w:gridCol w:w="1300"/>
        <w:gridCol w:w="1200"/>
        <w:gridCol w:w="1210"/>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1200"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422"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1200"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300"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200"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210"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1200"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300"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200"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210"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1200"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{suma_wag}</w:t>
            </w:r>
          </w:p>
        </w:tc>
        <w:tc>
          <w:tcPr>
            <w:tcW w:w="1300"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200"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{suma_ui_sr}</w:t>
            </w:r>
          </w:p>
        </w:tc>
        <w:tc>
          <w:tcPr>
            <w:tcW w:w="1210"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pPr>
        <w:spacing w:after="100"/>
      </w:pPr>
      <w:r>
        <w:rPr>
          <w:rFonts w:ascii="Calibri" w:hAnsi="Calibri"/>
          <w:sz w:val="22"/>
        </w:rPr>
        <w:t xml:space="preserve">{#skala_mieszana}Kreska w kolumnie środkowej oznacza brak oceny pośredniej w skali dwupoziomowej. Suma środkowa nie jest określona dla zestawu zawierającego taką skalę.{/skala_mieszana}</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pPr>
        <w:spacing w:after="100"/>
      </w:pPr>
      <w:r>
        <w:rPr>
          <w:rFonts w:ascii="Calibri" w:hAnsi="Calibri"/>
          <w:sz w:val="22"/>
        </w:rPr>
        <w:t xml:space="preserve">{/metoda_kcs}</w:t>
      </w:r>
    </w:p>
    <w:p>
      <w:pPr>
        <w:spacing w:after="100"/>
      </w:pPr>
      <w:r>
        <w:rPr>
          <w:rFonts w:ascii="Calibri" w:hAnsi="Calibri"/>
          <w:sz w:val="22"/>
        </w:rPr>
        <w:t xml:space="preserve">{#metoda_pp}</w:t>
      </w:r>
    </w:p>
    <w:p>
      <w:pPr>
        <w:keepNext/>
        <w:spacing w:after="100"/>
      </w:pPr>
      <w:r>
        <w:rPr>
          <w:rFonts w:ascii="Calibri" w:hAnsi="Calibri"/>
          <w:b/>
          <w:sz w:val="22"/>
        </w:rPr>
        <w:t xml:space="preserve">Tabela 1. Charakterystyka wybranych nieruchomości lokalowych o funkcji mieszkalnej</w:t>
      </w:r>
    </w:p>
    <w:tbl>
      <w:tblPr>
        <w:tblCaption w:val="pp-dynamic-2"/>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Przedmiot</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{#pp_rows}{label}</w:t>
            </w:r>
          </w:p>
        </w:tc>
        <w:tc>
          <w:tcPr>
            <w:tcW w:w="1200" w:type="dxa"/>
            <w:vAlign w:val="center"/>
          </w:tcPr>
          <w:p>
            <w:pPr>
              <w:spacing w:after="70" w:before="70"/>
            </w:pPr>
            <w:r>
              <w:rPr>
                <w:rFonts w:ascii="Calibri" w:hAnsi="Calibri"/>
                <w:sz w:val="18"/>
              </w:rPr>
              <w:t xml:space="preserve">{subject}</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{c5}{/pp_rows}</w:t>
            </w:r>
          </w:p>
        </w:tc>
      </w:tr>
    </w:tbl>
    <w:p>
      <w:pPr>
        <w:keepNext/>
        <w:spacing w:after="100"/>
      </w:pPr>
      <w:r>
        <w:rPr>
          <w:rFonts w:ascii="Calibri" w:hAnsi="Calibri"/>
          <w:b/>
          <w:sz w:val="22"/>
        </w:rPr>
        <w:t xml:space="preserve">12.3. Poprawki i ceny skorygowane</w:t>
      </w:r>
    </w:p>
    <w:p>
      <w:pPr>
        <w:spacing w:after="100"/>
      </w:pPr>
      <w:r>
        <w:rPr>
          <w:rFonts w:ascii="Calibri" w:hAnsi="Calibri"/>
          <w:sz w:val="22"/>
        </w:rPr>
        <w:t xml:space="preserve">Rozstęp cen wybranych transakcji ΔC = {pp_spread} zł/m². Zakres kwotowy cechy = ΔC × waga. Poprawka = zakres × przyjęty mnożnik.</w:t>
      </w:r>
    </w:p>
    <w:p>
      <w:pPr>
        <w:keepNext/>
        <w:spacing w:after="100"/>
      </w:pPr>
      <w:r>
        <w:rPr>
          <w:rFonts w:ascii="Calibri" w:hAnsi="Calibri"/>
          <w:b/>
          <w:sz w:val="22"/>
        </w:rPr>
        <w:t xml:space="preserve">Tabela 2. Porównanie nieruchomości wycenianej z nieruchomościami podobnymi</w:t>
      </w:r>
    </w:p>
    <w:tbl>
      <w:tblPr>
        <w:tblCaption w:val="pp-dynamic-3"/>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Waga [%]</w:t>
            </w:r>
          </w:p>
        </w:tc>
        <w:tc>
          <w:tcPr>
            <w:tcW w:w="1200" w:type="dxa"/>
            <w:vAlign w:val="center"/>
          </w:tcPr>
          <w:p>
            <w:pPr>
              <w:spacing w:after="70" w:before="70"/>
            </w:pPr>
            <w:r>
              <w:rPr>
                <w:rFonts w:ascii="Calibri" w:hAnsi="Calibri"/>
                <w:sz w:val="18"/>
              </w:rPr>
              <w:t xml:space="preserve">Zakres [zł/m²]</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{#pp_corrections}{label}</w:t>
            </w:r>
          </w:p>
        </w:tc>
        <w:tc>
          <w:tcPr>
            <w:tcW w:w="1200" w:type="dxa"/>
            <w:vAlign w:val="center"/>
          </w:tcPr>
          <w:p>
            <w:pPr>
              <w:spacing w:after="70" w:before="70"/>
            </w:pPr>
            <w:r>
              <w:rPr>
                <w:rFonts w:ascii="Calibri" w:hAnsi="Calibri"/>
                <w:sz w:val="18"/>
              </w:rPr>
              <w:t xml:space="preserve">{weight}</w:t>
            </w:r>
          </w:p>
        </w:tc>
        <w:tc>
          <w:tcPr>
            <w:tcW w:w="1200" w:type="dxa"/>
            <w:vAlign w:val="center"/>
          </w:tcPr>
          <w:p>
            <w:pPr>
              <w:spacing w:after="70" w:before="70"/>
            </w:pPr>
            <w:r>
              <w:rPr>
                <w:rFonts w:ascii="Calibri" w:hAnsi="Calibri"/>
                <w:sz w:val="18"/>
              </w:rPr>
              <w:t xml:space="preserve">{range}</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{c5}{/pp_corrections}</w:t>
            </w:r>
          </w:p>
        </w:tc>
      </w:tr>
    </w:tbl>
    <w:p>
      <w:pPr>
        <w:spacing w:after="100"/>
      </w:pPr>
      <w:r>
        <w:rPr>
          <w:rFonts w:ascii="Calibri" w:hAnsi="Calibri"/>
          <w:sz w:val="22"/>
        </w:rPr>
        <w:t xml:space="preserve">{#pp_overrides}</w:t>
      </w:r>
    </w:p>
    <w:p>
      <w:pPr>
        <w:spacing w:after="100"/>
      </w:pPr>
      <w:r>
        <w:rPr>
          <w:rFonts w:ascii="Calibri" w:hAnsi="Calibri"/>
          <w:sz w:val="22"/>
        </w:rPr>
        <w:t xml:space="preserve">{.}</w:t>
      </w:r>
    </w:p>
    <w:p>
      <w:pPr>
        <w:spacing w:after="100"/>
      </w:pPr>
      <w:r>
        <w:rPr>
          <w:rFonts w:ascii="Calibri" w:hAnsi="Calibri"/>
          <w:sz w:val="22"/>
        </w:rPr>
        <w:t xml:space="preserve">{/pp_overrides}</w:t>
      </w:r>
    </w:p>
    <w:p>
      <w:pPr>
        <w:keepNext/>
        <w:spacing w:after="100"/>
      </w:pPr>
      <w:r>
        <w:rPr>
          <w:rFonts w:ascii="Calibri" w:hAnsi="Calibri"/>
          <w:b/>
          <w:sz w:val="22"/>
        </w:rPr>
        <w:t xml:space="preserve">Tabela 3. Obliczenie skorygowanej ceny transakcyjnej każdego lokalu mieszkalnego przyjętego do porównań przy użyciu określonych poprawek</w:t>
      </w:r>
    </w:p>
    <w:tbl>
      <w:tblPr>
        <w:tblCaption w:val="pp-dynamic-1"/>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Cena / poprawka</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{#pp_prices}{label}</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{c5}{/pp_prices}</w:t>
            </w:r>
          </w:p>
        </w:tc>
      </w:tr>
    </w:tbl>
    <w:p>
      <w:pPr>
        <w:spacing w:after="100"/>
      </w:pPr>
      <w:r>
        <w:rPr>
          <w:rFonts w:ascii="Calibri" w:hAnsi="Calibri"/>
          <w:sz w:val="22"/>
        </w:rPr>
        <w:t xml:space="preserve">Średnia arytmetyczna cen skorygowanych: {cena_1m2} zł/m².</w:t>
      </w:r>
    </w:p>
    <w:p>
      <w:pPr>
        <w:keepNext/>
        <w:spacing w:after="100"/>
      </w:pPr>
      <w:r>
        <w:rPr>
          <w:rFonts w:ascii="Calibri" w:hAnsi="Calibri"/>
          <w:b/>
          <w:sz w:val="22"/>
        </w:rPr>
        <w:t xml:space="preserve">12.4. Określenie wartości rynkowej {przedmiot_d}</w:t>
      </w:r>
    </w:p>
    <w:p>
      <w:pPr>
        <w:keepNext/>
        <w:spacing w:after="100"/>
      </w:pPr>
      <w:r>
        <w:rPr>
          <w:rFonts w:ascii="Calibri" w:hAnsi="Calibri"/>
          <w:b/>
          <w:sz w:val="22"/>
        </w:rPr>
        <w:t xml:space="preserve">Tabela 4. Określenie wartości rynkowej {przedmiot_d}</w:t>
      </w:r>
    </w:p>
    <w:tbl>
      <w:tblPr>
        <w:tblCaption w:val="pp-result"/>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4500"/>
        <w:gridCol w:w="4500"/>
      </w:tblGrid>
      <w:tr>
        <w:trPr>
          <w:cantSplit/>
          <w:tblHeader/>
        </w:trPr>
        <w:tc>
          <w:tcPr>
            <w:tcW w:w="4500" w:type="dxa"/>
            <w:vAlign w:val="center"/>
          </w:tcPr>
          <w:p>
            <w:pPr>
              <w:spacing w:after="70" w:before="70"/>
            </w:pPr>
            <w:r>
              <w:rPr>
                <w:rFonts w:ascii="Calibri" w:hAnsi="Calibri"/>
                <w:sz w:val="18"/>
              </w:rPr>
              <w:t xml:space="preserve">Wielkość</w:t>
            </w:r>
          </w:p>
        </w:tc>
        <w:tc>
          <w:tcPr>
            <w:tcW w:w="4500" w:type="dxa"/>
            <w:vAlign w:val="center"/>
          </w:tcPr>
          <w:p>
            <w:pPr>
              <w:spacing w:after="70" w:before="70"/>
            </w:pPr>
            <w:r>
              <w:rPr>
                <w:rFonts w:ascii="Calibri" w:hAnsi="Calibri"/>
                <w:sz w:val="18"/>
              </w:rPr>
              <w:t xml:space="preserve">Wartość</w:t>
            </w:r>
          </w:p>
        </w:tc>
      </w:tr>
      <w:tr>
        <w:trPr>
          <w:cantSplit/>
        </w:trPr>
        <w:tc>
          <w:tcPr>
            <w:tcW w:w="4500" w:type="dxa"/>
            <w:vAlign w:val="center"/>
          </w:tcPr>
          <w:p>
            <w:pPr>
              <w:spacing w:after="70" w:before="70"/>
            </w:pPr>
            <w:r>
              <w:rPr>
                <w:rFonts w:ascii="Calibri" w:hAnsi="Calibri"/>
                <w:sz w:val="18"/>
              </w:rPr>
              <w:t xml:space="preserve">Średnia cena skorygowana [zł/m²]</w:t>
            </w:r>
          </w:p>
        </w:tc>
        <w:tc>
          <w:tcPr>
            <w:tcW w:w="4500" w:type="dxa"/>
            <w:vAlign w:val="center"/>
          </w:tcPr>
          <w:p>
            <w:pPr>
              <w:spacing w:after="70" w:before="70"/>
            </w:pPr>
            <w:r>
              <w:rPr>
                <w:rFonts w:ascii="Calibri" w:hAnsi="Calibri"/>
                <w:sz w:val="18"/>
              </w:rPr>
              <w:t xml:space="preserve">{cena_1m2}</w:t>
            </w:r>
          </w:p>
        </w:tc>
      </w:tr>
      <w:tr>
        <w:trPr>
          <w:cantSplit/>
        </w:trPr>
        <w:tc>
          <w:tcPr>
            <w:tcW w:w="4500" w:type="dxa"/>
            <w:vAlign w:val="center"/>
          </w:tcPr>
          <w:p>
            <w:pPr>
              <w:spacing w:after="70" w:before="70"/>
            </w:pPr>
            <w:r>
              <w:rPr>
                <w:rFonts w:ascii="Calibri" w:hAnsi="Calibri"/>
                <w:sz w:val="18"/>
              </w:rPr>
              <w:t xml:space="preserve">Powierzchnia użytkowa [m²]</w:t>
            </w:r>
          </w:p>
        </w:tc>
        <w:tc>
          <w:tcPr>
            <w:tcW w:w="4500" w:type="dxa"/>
            <w:vAlign w:val="center"/>
          </w:tcPr>
          <w:p>
            <w:pPr>
              <w:spacing w:after="70" w:before="70"/>
            </w:pPr>
            <w:r>
              <w:rPr>
                <w:rFonts w:ascii="Calibri" w:hAnsi="Calibri"/>
                <w:sz w:val="18"/>
              </w:rPr>
              <w:t xml:space="preserve">{powierzchnia}</w:t>
            </w:r>
          </w:p>
        </w:tc>
      </w:tr>
      <w:tr>
        <w:trPr>
          <w:cantSplit/>
        </w:trPr>
        <w:tc>
          <w:tcPr>
            <w:tcW w:w="4500" w:type="dxa"/>
            <w:vAlign w:val="center"/>
          </w:tcPr>
          <w:p>
            <w:pPr>
              <w:spacing w:after="70" w:before="70"/>
            </w:pPr>
            <w:r>
              <w:rPr>
                <w:rFonts w:ascii="Calibri" w:hAnsi="Calibri"/>
                <w:sz w:val="18"/>
              </w:rPr>
              <w:t xml:space="preserve">Wartość przed zaokrągleniem [zł]</w:t>
            </w:r>
          </w:p>
        </w:tc>
        <w:tc>
          <w:tcPr>
            <w:tcW w:w="4500" w:type="dxa"/>
            <w:vAlign w:val="center"/>
          </w:tcPr>
          <w:p>
            <w:pPr>
              <w:spacing w:after="70" w:before="70"/>
            </w:pPr>
            <w:r>
              <w:rPr>
                <w:rFonts w:ascii="Calibri" w:hAnsi="Calibri"/>
                <w:sz w:val="18"/>
              </w:rPr>
              <w:t xml:space="preserve">{wr_dokladna}</w:t>
            </w:r>
          </w:p>
        </w:tc>
      </w:tr>
      <w:tr>
        <w:trPr>
          <w:cantSplit/>
        </w:trPr>
        <w:tc>
          <w:tcPr>
            <w:tcW w:w="4500" w:type="dxa"/>
            <w:vAlign w:val="center"/>
          </w:tcPr>
          <w:p>
            <w:pPr>
              <w:spacing w:after="70" w:before="70"/>
            </w:pPr>
            <w:r>
              <w:rPr>
                <w:rFonts w:ascii="Calibri" w:hAnsi="Calibri"/>
                <w:sz w:val="18"/>
              </w:rPr>
              <w:t xml:space="preserve">Wartość po zaokrągleniu [zł]</w:t>
            </w:r>
          </w:p>
        </w:tc>
        <w:tc>
          <w:tcPr>
            <w:tcW w:w="4500" w:type="dxa"/>
            <w:vAlign w:val="center"/>
          </w:tcPr>
          <w:p>
            <w:pPr>
              <w:spacing w:after="70" w:before="70"/>
            </w:pPr>
            <w:r>
              <w:rPr>
                <w:rFonts w:ascii="Calibri" w:hAnsi="Calibri"/>
                <w:sz w:val="18"/>
              </w:rPr>
              <w:t xml:space="preserve">{wr}</w:t>
            </w:r>
          </w:p>
        </w:tc>
      </w:tr>
      <w:tr>
        <w:trPr>
          <w:cantSplit/>
        </w:trPr>
        <w:tc>
          <w:tcPr>
            <w:tcW w:w="4500" w:type="dxa"/>
            <w:vAlign w:val="center"/>
          </w:tcPr>
          <w:p>
            <w:pPr>
              <w:spacing w:after="70" w:before="70"/>
            </w:pPr>
            <w:r>
              <w:rPr>
                <w:rFonts w:ascii="Calibri" w:hAnsi="Calibri"/>
                <w:sz w:val="18"/>
              </w:rPr>
              <w:t xml:space="preserve">Słownie</w:t>
            </w:r>
          </w:p>
        </w:tc>
        <w:tc>
          <w:tcPr>
            <w:tcW w:w="4500" w:type="dxa"/>
            <w:vAlign w:val="center"/>
          </w:tcPr>
          <w:p>
            <w:pPr>
              <w:spacing w:after="70" w:before="70"/>
            </w:pPr>
            <w:r>
              <w:rPr>
                <w:rFonts w:ascii="Calibri" w:hAnsi="Calibri"/>
                <w:sz w:val="18"/>
              </w:rPr>
              <w:t xml:space="preserve">{wr_slownie}</w:t>
            </w:r>
          </w:p>
        </w:tc>
      </w:tr>
    </w:tbl>
    <w:p>
      <w:pPr>
        <w:spacing w:after="100"/>
      </w:pPr>
      <w:r>
        <w:rPr>
          <w:rFonts w:ascii="Calibri" w:hAnsi="Calibri"/>
          <w:sz w:val="22"/>
        </w:rPr>
        <w:t xml:space="preserve">Obliczenia wykonano z pełną precyzją; wartości w tabelach przedstawiono do dwóch miejsc po przecinku. Końcową wartość zaokrąglono do 100 zł.</w:t>
      </w: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pPr>
        <w:spacing w:after="100"/>
      </w:pPr>
      <w:r>
        <w:rPr>
          <w:rFonts w:ascii="Calibri" w:hAnsi="Calibri"/>
          <w:sz w:val="22"/>
        </w:rPr>
        <w:t xml:space="preserve">Źródło: Opracowanie własne.</w:t>
      </w:r>
    </w:p>
    <w:p>
      <w:pPr>
        <w:spacing w:after="100"/>
      </w:pPr>
      <w:r>
        <w:rPr>
          <w:rFonts w:ascii="Calibri" w:hAnsi="Calibri"/>
          <w:sz w:val="22"/>
        </w:rPr>
        <w:t xml:space="preserve">{/metoda_pp}</w:t>
      </w: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