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{#kw_stub_odpis}Pełna treść odpisu KW pozostaje w dokumentacji źródłowej rzeczoznawcy.{/kw_stub_odpis}</w:t>
      </w:r>
    </w:p>
    <w:p>
      <w:r>
        <w:t xml:space="preserve">{#kw_badanie}Badanie ksiąg wieczystych przeprowadzono na podstawie: {kw_zrodlo} (data dokumentu: {kw_data_dok}).</w:t>
      </w:r>
    </w:p>
    <w:p>
      <w:r>
        <w:t xml:space="preserve">{#kw_standard}Księga wieczysta lokalu: {kw_lokalu}. Księga wieczysta gruntu: {kw_gruntu}.{/kw_standard}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Udział w nieruchomości wspólnej: {udzial_kw}.</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lokali o funkcji mieszkalnej będących przedmiotem prawa własności,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