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lokali o funkcji mieszkalnej będących przedmiotem prawa własności,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