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6"/>
          <w:szCs w:val="36"/>
        </w:rPr>
        <w:t xml:space="preserve">Propuesta de trabajo</w:t>
      </w:r>
    </w:p>
    <w:p>
      <w:pPr>
        <w:spacing w:after="200"/>
      </w:pPr>
      <w:r>
        <w:rPr>
          <w:rFonts w:ascii="Calibri" w:cs="Calibri" w:eastAsia="Calibri" w:hAnsi="Calibri"/>
          <w:color w:val="374151"/>
          <w:sz w:val="24"/>
          <w:szCs w:val="24"/>
        </w:rPr>
        <w:t xml:space="preserve">Sitios web y apoyo digital para OIKKA Chile y el Dojo Isshin Akira Temuco</w:t>
      </w:r>
    </w:p>
    <w:p>
      <w:pPr>
        <w:spacing w:after="120"/>
      </w:pPr>
      <w:r>
        <w:rPr>
          <w:rFonts w:ascii="Calibri" w:cs="Calibri" w:eastAsia="Calibri" w:hAnsi="Calibri"/>
          <w:sz w:val="22"/>
          <w:szCs w:val="22"/>
        </w:rPr>
        <w:t xml:space="preserve">Para: Dojo Isshin Akira / OIKKA Isshin Ryu Chile</w:t>
      </w:r>
    </w:p>
    <w:p>
      <w:pPr>
        <w:spacing w:after="120"/>
      </w:pPr>
      <w:r>
        <w:rPr>
          <w:rFonts w:ascii="Calibri" w:cs="Calibri" w:eastAsia="Calibri" w:hAnsi="Calibri"/>
          <w:sz w:val="22"/>
          <w:szCs w:val="22"/>
        </w:rPr>
        <w:t xml:space="preserve">De: Raúl Gutiérrez</w:t>
      </w:r>
    </w:p>
    <w:p>
      <w:pPr>
        <w:spacing w:after="120"/>
      </w:pPr>
      <w:r>
        <w:rPr>
          <w:rFonts w:ascii="Calibri" w:cs="Calibri" w:eastAsia="Calibri" w:hAnsi="Calibri"/>
          <w:sz w:val="22"/>
          <w:szCs w:val="22"/>
        </w:rPr>
        <w:t xml:space="preserve">Fecha: agosto 2026 · Válida por: 30 días</w:t>
      </w:r>
    </w:p>
    <w:p>
      <w:pPr>
        <w:spacing w:after="120"/>
      </w:pPr>
      <w:r>
        <w:rPr>
          <w:rFonts w:ascii="Calibri" w:cs="Calibri" w:eastAsia="Calibri" w:hAnsi="Calibri"/>
          <w:b/>
          <w:bCs/>
          <w:sz w:val="22"/>
          <w:szCs w:val="22"/>
        </w:rPr>
        <w:t xml:space="preserve">Tope por etapa de trabajo: hasta $1.000.000 (pesos chilenos).</w:t>
      </w:r>
    </w:p>
    <w:p>
      <w:pPr>
        <w:spacing w:after="120"/>
      </w:pPr>
      <w:r>
        <w:rPr>
          <w:rFonts w:ascii="Calibri" w:cs="Calibri" w:eastAsia="Calibri" w:hAnsi="Calibri"/>
          <w:sz w:val="22"/>
          <w:szCs w:val="22"/>
        </w:rPr>
        <w:t xml:space="preserve">Sobre impuestos: los valores están en pesos. Si se necesita boleta o factura con IVA, se puede agregar aparte.</w:t>
      </w:r>
    </w:p>
    <w:p>
      <w:pPr>
        <w:pStyle w:val="Heading1"/>
        <w:spacing w:after="120" w:before="240"/>
      </w:pPr>
      <w:r>
        <w:rPr>
          <w:rFonts w:ascii="Calibri" w:cs="Calibri" w:eastAsia="Calibri" w:hAnsi="Calibri"/>
          <w:b/>
          <w:bCs/>
          <w:sz w:val="28"/>
          <w:szCs w:val="28"/>
        </w:rPr>
        <w:t xml:space="preserve">1. De qué se trata esta propuesta</w:t>
      </w:r>
    </w:p>
    <w:p>
      <w:pPr>
        <w:spacing w:after="120"/>
      </w:pPr>
      <w:r>
        <w:rPr>
          <w:rFonts w:ascii="Calibri" w:cs="Calibri" w:eastAsia="Calibri" w:hAnsi="Calibri"/>
          <w:sz w:val="22"/>
          <w:szCs w:val="22"/>
        </w:rPr>
        <w:t xml:space="preserve">Hoy existen dos sitios antiguos (Temuco y OIKKA Chile). Ya estamos armando versiones más modernas y fáciles de usar en el celular y el computador.</w:t>
      </w:r>
    </w:p>
    <w:p>
      <w:pPr>
        <w:spacing w:after="120"/>
      </w:pPr>
      <w:r>
        <w:rPr>
          <w:rFonts w:ascii="Calibri" w:cs="Calibri" w:eastAsia="Calibri" w:hAnsi="Calibri"/>
          <w:sz w:val="22"/>
          <w:szCs w:val="22"/>
        </w:rPr>
        <w:t xml:space="preserve">1. Cuánto cuesta dejar listos y publicados esos sitios nuevos.</w:t>
      </w:r>
    </w:p>
    <w:p>
      <w:pPr>
        <w:spacing w:after="120"/>
      </w:pPr>
      <w:r>
        <w:rPr>
          <w:rFonts w:ascii="Calibri" w:cs="Calibri" w:eastAsia="Calibri" w:hAnsi="Calibri"/>
          <w:sz w:val="22"/>
          <w:szCs w:val="22"/>
        </w:rPr>
        <w:t xml:space="preserve">2. Cómo se pueden publicar noticias y eventos sin pedir ayuda cada vez a un técnico.</w:t>
      </w:r>
    </w:p>
    <w:p>
      <w:pPr>
        <w:spacing w:after="120"/>
      </w:pPr>
      <w:r>
        <w:rPr>
          <w:rFonts w:ascii="Calibri" w:cs="Calibri" w:eastAsia="Calibri" w:hAnsi="Calibri"/>
          <w:sz w:val="22"/>
          <w:szCs w:val="22"/>
        </w:rPr>
        <w:t xml:space="preserve">3. Cómo más adelante se puede usar un sistema para el día a día del dojo (alumnos, asistencia, exámenes), parecido a DojApp.</w:t>
      </w:r>
    </w:p>
    <w:p>
      <w:pPr>
        <w:spacing w:after="120"/>
      </w:pPr>
      <w:r>
        <w:rPr>
          <w:rFonts w:ascii="Calibri" w:cs="Calibri" w:eastAsia="Calibri" w:hAnsi="Calibri"/>
          <w:sz w:val="22"/>
          <w:szCs w:val="22"/>
        </w:rPr>
        <w:t xml:space="preserve">4. Un pago mensual para que los sitios sigan funcionando y con apoyo.</w:t>
      </w:r>
    </w:p>
    <w:p>
      <w:pPr>
        <w:pStyle w:val="Heading1"/>
        <w:spacing w:after="120" w:before="240"/>
      </w:pPr>
      <w:r>
        <w:rPr>
          <w:rFonts w:ascii="Calibri" w:cs="Calibri" w:eastAsia="Calibri" w:hAnsi="Calibri"/>
          <w:b/>
          <w:bCs/>
          <w:sz w:val="28"/>
          <w:szCs w:val="28"/>
        </w:rPr>
        <w:t xml:space="preserve">2. Cómo se verían los sitios y las herramientas</w:t>
      </w:r>
    </w:p>
    <w:p>
      <w:pPr>
        <w:spacing w:after="120"/>
      </w:pPr>
      <w:r>
        <w:rPr>
          <w:rFonts w:ascii="Calibri" w:cs="Calibri" w:eastAsia="Calibri" w:hAnsi="Calibri"/>
          <w:sz w:val="22"/>
          <w:szCs w:val="22"/>
        </w:rPr>
        <w:t xml:space="preserve">Las páginas de Temuco y OIKKA Chile son capturas del sitio ya implementado. El panel de noticias es captura real. Los paneles tipo DojApp son mockups de escritorio pensados para Isshin Akira Temuco (sin versión smartphone).</w:t>
      </w:r>
    </w:p>
    <w:p>
      <w:pPr>
        <w:pStyle w:val="Heading2"/>
        <w:spacing w:after="120" w:before="240"/>
      </w:pPr>
      <w:r>
        <w:rPr>
          <w:rFonts w:ascii="Calibri" w:cs="Calibri" w:eastAsia="Calibri" w:hAnsi="Calibri"/>
          <w:b/>
          <w:bCs/>
          <w:sz w:val="24"/>
          <w:szCs w:val="24"/>
        </w:rPr>
        <w:t xml:space="preserve">2.1 Página del Dojo Temuco (ya implementada)</w:t>
      </w:r>
    </w:p>
    <w:p>
      <w:pPr>
        <w:spacing w:after="120"/>
      </w:pPr>
      <w:r>
        <w:rPr>
          <w:rFonts w:ascii="Calibri" w:cs="Calibri" w:eastAsia="Calibri" w:hAnsi="Calibri"/>
          <w:sz w:val="22"/>
          <w:szCs w:val="22"/>
        </w:rPr>
        <w:t xml:space="preserve">Carta de presentación del dojo: nombre grande, foto de entrenamiento y botón para agendar clase de prueba.</w:t>
      </w:r>
    </w:p>
    <w:p>
      <w:pPr>
        <w:spacing w:after="80" w:before="80"/>
      </w:pPr>
      <w:r>
        <w:drawing>
          <wp:inline distT="0" distB="0" distL="0" distR="0">
            <wp:extent cx="5143500" cy="3219450"/>
            <wp:effectExtent t="0" r="0" b="0" l="0"/>
            <wp:docPr id="1" name="mockup-temuco-landing.jpg" descr="Captura real — Dojo Isshin Akira Temuco" title="Captura real — Dojo Isshin Akira Temu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219450"/>
                    </a:xfrm>
                    <a:prstGeom prst="rect">
                      <a:avLst/>
                    </a:prstGeom>
                  </pic:spPr>
                </pic:pic>
              </a:graphicData>
            </a:graphic>
          </wp:inline>
        </w:drawing>
      </w:r>
    </w:p>
    <w:p>
      <w:pPr>
        <w:spacing w:after="160"/>
      </w:pPr>
      <w:r>
        <w:rPr>
          <w:rFonts w:ascii="Calibri" w:cs="Calibri" w:eastAsia="Calibri" w:hAnsi="Calibri"/>
          <w:i/>
          <w:iCs/>
          <w:color w:val="6B7280"/>
          <w:sz w:val="18"/>
          <w:szCs w:val="18"/>
        </w:rPr>
        <w:t xml:space="preserve">Captura real — Dojo Isshin Akira Temuco</w:t>
      </w:r>
    </w:p>
    <w:p>
      <w:pPr>
        <w:pStyle w:val="Heading2"/>
        <w:spacing w:after="120" w:before="240"/>
      </w:pPr>
      <w:r>
        <w:rPr>
          <w:rFonts w:ascii="Calibri" w:cs="Calibri" w:eastAsia="Calibri" w:hAnsi="Calibri"/>
          <w:b/>
          <w:bCs/>
          <w:sz w:val="24"/>
          <w:szCs w:val="24"/>
        </w:rPr>
        <w:t xml:space="preserve">2.2 Página OIKKA Chile (ya implementada)</w:t>
      </w:r>
    </w:p>
    <w:p>
      <w:pPr>
        <w:spacing w:after="120"/>
      </w:pPr>
      <w:r>
        <w:rPr>
          <w:rFonts w:ascii="Calibri" w:cs="Calibri" w:eastAsia="Calibri" w:hAnsi="Calibri"/>
          <w:sz w:val="22"/>
          <w:szCs w:val="22"/>
        </w:rPr>
        <w:t xml:space="preserve">Página de la asociación a nivel país: escuelas y qué es OIKKA.</w:t>
      </w:r>
    </w:p>
    <w:p>
      <w:pPr>
        <w:spacing w:after="80" w:before="80"/>
      </w:pPr>
      <w:r>
        <w:drawing>
          <wp:inline distT="0" distB="0" distL="0" distR="0">
            <wp:extent cx="5143500" cy="3219450"/>
            <wp:effectExtent t="0" r="0" b="0" l="0"/>
            <wp:docPr id="1" name="mockup-oikka-landing.jpg" descr="Captura real — OIKKA Chile" title="Captura real — OIKKA C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219450"/>
                    </a:xfrm>
                    <a:prstGeom prst="rect">
                      <a:avLst/>
                    </a:prstGeom>
                  </pic:spPr>
                </pic:pic>
              </a:graphicData>
            </a:graphic>
          </wp:inline>
        </w:drawing>
      </w:r>
    </w:p>
    <w:p>
      <w:pPr>
        <w:spacing w:after="160"/>
      </w:pPr>
      <w:r>
        <w:rPr>
          <w:rFonts w:ascii="Calibri" w:cs="Calibri" w:eastAsia="Calibri" w:hAnsi="Calibri"/>
          <w:i/>
          <w:iCs/>
          <w:color w:val="6B7280"/>
          <w:sz w:val="18"/>
          <w:szCs w:val="18"/>
        </w:rPr>
        <w:t xml:space="preserve">Captura real — OIKKA Chile</w:t>
      </w:r>
    </w:p>
    <w:p>
      <w:pPr>
        <w:pStyle w:val="Heading2"/>
        <w:spacing w:after="120" w:before="240"/>
      </w:pPr>
      <w:r>
        <w:rPr>
          <w:rFonts w:ascii="Calibri" w:cs="Calibri" w:eastAsia="Calibri" w:hAnsi="Calibri"/>
          <w:b/>
          <w:bCs/>
          <w:sz w:val="24"/>
          <w:szCs w:val="24"/>
        </w:rPr>
        <w:t xml:space="preserve">2.3 Panel para publicar noticias (ya implementado)</w:t>
      </w:r>
    </w:p>
    <w:p>
      <w:pPr>
        <w:spacing w:after="120"/>
      </w:pPr>
      <w:r>
        <w:rPr>
          <w:rFonts w:ascii="Calibri" w:cs="Calibri" w:eastAsia="Calibri" w:hAnsi="Calibri"/>
          <w:sz w:val="22"/>
          <w:szCs w:val="22"/>
        </w:rPr>
        <w:t xml:space="preserve">Pantalla real del admin: escribir un aviso, agregar foto y publicar.</w:t>
      </w:r>
    </w:p>
    <w:p>
      <w:pPr>
        <w:spacing w:after="80" w:before="80"/>
      </w:pPr>
      <w:r>
        <w:drawing>
          <wp:inline distT="0" distB="0" distL="0" distR="0">
            <wp:extent cx="5143500" cy="2895600"/>
            <wp:effectExtent t="0" r="0" b="0" l="0"/>
            <wp:docPr id="1" name="mockup-admin-noticias.jpg" descr="Captura real — Admin noticias Isshin Temuco" title="Captura real — Admin noticias Isshin Temu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895600"/>
                    </a:xfrm>
                    <a:prstGeom prst="rect">
                      <a:avLst/>
                    </a:prstGeom>
                  </pic:spPr>
                </pic:pic>
              </a:graphicData>
            </a:graphic>
          </wp:inline>
        </w:drawing>
      </w:r>
    </w:p>
    <w:p>
      <w:pPr>
        <w:spacing w:after="160"/>
      </w:pPr>
      <w:r>
        <w:rPr>
          <w:rFonts w:ascii="Calibri" w:cs="Calibri" w:eastAsia="Calibri" w:hAnsi="Calibri"/>
          <w:i/>
          <w:iCs/>
          <w:color w:val="6B7280"/>
          <w:sz w:val="18"/>
          <w:szCs w:val="18"/>
        </w:rPr>
        <w:t xml:space="preserve">Captura real — Admin noticias Isshin Temuco</w:t>
      </w:r>
    </w:p>
    <w:p>
      <w:pPr>
        <w:pStyle w:val="Heading2"/>
        <w:spacing w:after="120" w:before="240"/>
      </w:pPr>
      <w:r>
        <w:rPr>
          <w:rFonts w:ascii="Calibri" w:cs="Calibri" w:eastAsia="Calibri" w:hAnsi="Calibri"/>
          <w:b/>
          <w:bCs/>
          <w:sz w:val="24"/>
          <w:szCs w:val="24"/>
        </w:rPr>
        <w:t xml:space="preserve">2.4 Panel de avisos y eventos (propuesta Etapa B · Isshin Temuco)</w:t>
      </w:r>
    </w:p>
    <w:p>
      <w:pPr>
        <w:spacing w:after="120"/>
      </w:pPr>
      <w:r>
        <w:rPr>
          <w:rFonts w:ascii="Calibri" w:cs="Calibri" w:eastAsia="Calibri" w:hAnsi="Calibri"/>
          <w:sz w:val="22"/>
          <w:szCs w:val="22"/>
        </w:rPr>
        <w:t xml:space="preserve">Vista de escritorio estilo DojApp para Hombu Temuco: noticias, eventos, alumnos y contenidos.</w:t>
      </w:r>
    </w:p>
    <w:p>
      <w:pPr>
        <w:spacing w:after="80" w:before="80"/>
      </w:pPr>
      <w:r>
        <w:drawing>
          <wp:inline distT="0" distB="0" distL="0" distR="0">
            <wp:extent cx="5143500" cy="3924300"/>
            <wp:effectExtent t="0" r="0" b="0" l="0"/>
            <wp:docPr id="1" name="mockup-community-panel.jpg" descr="Mockup escritorio — panel Isshin Dojo (estilo DojApp)" title="Mockup escritorio — panel Isshin Dojo (estilo Doj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924300"/>
                    </a:xfrm>
                    <a:prstGeom prst="rect">
                      <a:avLst/>
                    </a:prstGeom>
                  </pic:spPr>
                </pic:pic>
              </a:graphicData>
            </a:graphic>
          </wp:inline>
        </w:drawing>
      </w:r>
    </w:p>
    <w:p>
      <w:pPr>
        <w:spacing w:after="160"/>
      </w:pPr>
      <w:r>
        <w:rPr>
          <w:rFonts w:ascii="Calibri" w:cs="Calibri" w:eastAsia="Calibri" w:hAnsi="Calibri"/>
          <w:i/>
          <w:iCs/>
          <w:color w:val="6B7280"/>
          <w:sz w:val="18"/>
          <w:szCs w:val="18"/>
        </w:rPr>
        <w:t xml:space="preserve">Mockup escritorio — panel Isshin Dojo (estilo DojApp)</w:t>
      </w:r>
    </w:p>
    <w:p>
      <w:pPr>
        <w:pStyle w:val="Heading2"/>
        <w:spacing w:after="120" w:before="240"/>
      </w:pPr>
      <w:r>
        <w:rPr>
          <w:rFonts w:ascii="Calibri" w:cs="Calibri" w:eastAsia="Calibri" w:hAnsi="Calibri"/>
          <w:b/>
          <w:bCs/>
          <w:sz w:val="24"/>
          <w:szCs w:val="24"/>
        </w:rPr>
        <w:t xml:space="preserve">2.5 Sistema de asistencia del dojo (propuesta Etapa C1 · Isshin Temuco)</w:t>
      </w:r>
    </w:p>
    <w:p>
      <w:pPr>
        <w:spacing w:after="120"/>
      </w:pPr>
      <w:r>
        <w:rPr>
          <w:rFonts w:ascii="Calibri" w:cs="Calibri" w:eastAsia="Calibri" w:hAnsi="Calibri"/>
          <w:sz w:val="22"/>
          <w:szCs w:val="22"/>
        </w:rPr>
        <w:t xml:space="preserve">Vista de escritorio donde el sensei pasa lista en Hombu Temuco (basada en DojApp).</w:t>
      </w:r>
    </w:p>
    <w:p>
      <w:pPr>
        <w:spacing w:after="80" w:before="80"/>
      </w:pPr>
      <w:r>
        <w:drawing>
          <wp:inline distT="0" distB="0" distL="0" distR="0">
            <wp:extent cx="5143500" cy="3571875"/>
            <wp:effectExtent t="0" r="0" b="0" l="0"/>
            <wp:docPr id="1" name="mockup-dojapp-asistencia.jpg" descr="Mockup escritorio — asistencia Hombu Temuco" title="Mockup escritorio — asistencia Hombu Temu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571875"/>
                    </a:xfrm>
                    <a:prstGeom prst="rect">
                      <a:avLst/>
                    </a:prstGeom>
                  </pic:spPr>
                </pic:pic>
              </a:graphicData>
            </a:graphic>
          </wp:inline>
        </w:drawing>
      </w:r>
    </w:p>
    <w:p>
      <w:pPr>
        <w:spacing w:after="160"/>
      </w:pPr>
      <w:r>
        <w:rPr>
          <w:rFonts w:ascii="Calibri" w:cs="Calibri" w:eastAsia="Calibri" w:hAnsi="Calibri"/>
          <w:i/>
          <w:iCs/>
          <w:color w:val="6B7280"/>
          <w:sz w:val="18"/>
          <w:szCs w:val="18"/>
        </w:rPr>
        <w:t xml:space="preserve">Mockup escritorio — asistencia Hombu Temuco</w:t>
      </w:r>
    </w:p>
    <w:p>
      <w:pPr>
        <w:pStyle w:val="Heading1"/>
        <w:spacing w:after="120" w:before="240"/>
      </w:pPr>
      <w:r>
        <w:rPr>
          <w:rFonts w:ascii="Calibri" w:cs="Calibri" w:eastAsia="Calibri" w:hAnsi="Calibri"/>
          <w:b/>
          <w:bCs/>
          <w:sz w:val="28"/>
          <w:szCs w:val="28"/>
        </w:rPr>
        <w:t xml:space="preserve">3. Qué ya está avanzado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Qué</w:t>
            </w:r>
          </w:p>
        </w:tc>
        <w:tc>
          <w:tcPr>
            <w:tcW w:type="dxa" w:w="16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Estado</w:t>
            </w:r>
          </w:p>
        </w:tc>
        <w:tc>
          <w:tcPr>
            <w:tcW w:type="dxa" w:w="456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Para qué sirve</w:t>
            </w:r>
          </w:p>
        </w:tc>
      </w:tr>
      <w:tr>
        <w:tc>
          <w:tcPr>
            <w:tcW w:type="dxa" w:w="3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Página del Dojo Temuco</w:t>
            </w:r>
          </w:p>
        </w:tc>
        <w:tc>
          <w:tcPr>
            <w:tcW w:type="dxa" w:w="16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Lista</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Mostrar el dojo, horarios y agendar clase de prueba</w:t>
            </w:r>
          </w:p>
        </w:tc>
      </w:tr>
      <w:tr>
        <w:tc>
          <w:tcPr>
            <w:tcW w:type="dxa" w:w="3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Panel para publicar noticias (Temuco)</w:t>
            </w:r>
          </w:p>
        </w:tc>
        <w:tc>
          <w:tcPr>
            <w:tcW w:type="dxa" w:w="16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Listo</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Subir avisos e imágenes ustedes mismos</w:t>
            </w:r>
          </w:p>
        </w:tc>
      </w:tr>
      <w:tr>
        <w:tc>
          <w:tcPr>
            <w:tcW w:type="dxa" w:w="3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Página de OIKKA Chile</w:t>
            </w:r>
          </w:p>
        </w:tc>
        <w:tc>
          <w:tcPr>
            <w:tcW w:type="dxa" w:w="16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Lista</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Mostrar las escuelas del país y qué es OIKKA</w:t>
            </w:r>
          </w:p>
        </w:tc>
      </w:tr>
    </w:tbl>
    <w:p>
      <w:pPr>
        <w:spacing w:after="120"/>
      </w:pPr>
      <w:r>
        <w:rPr>
          <w:rFonts w:ascii="Calibri" w:cs="Calibri" w:eastAsia="Calibri" w:hAnsi="Calibri"/>
          <w:sz w:val="22"/>
          <w:szCs w:val="22"/>
        </w:rPr>
        <w:t xml:space="preserve">Páginas actuales: https://isshinryutemuco.cl/ · https://www.oikkaisshinryuchile.com/</w:t>
      </w:r>
    </w:p>
    <w:p>
      <w:pPr>
        <w:pStyle w:val="Heading1"/>
        <w:spacing w:after="120" w:before="240"/>
      </w:pPr>
      <w:r>
        <w:rPr>
          <w:rFonts w:ascii="Calibri" w:cs="Calibri" w:eastAsia="Calibri" w:hAnsi="Calibri"/>
          <w:b/>
          <w:bCs/>
          <w:sz w:val="28"/>
          <w:szCs w:val="28"/>
        </w:rPr>
        <w:t xml:space="preserve">4. Trabajo de una sola vez (por etapas)</w:t>
      </w:r>
    </w:p>
    <w:p>
      <w:pPr>
        <w:spacing w:after="120"/>
      </w:pPr>
      <w:r>
        <w:rPr>
          <w:rFonts w:ascii="Calibri" w:cs="Calibri" w:eastAsia="Calibri" w:hAnsi="Calibri"/>
          <w:sz w:val="22"/>
          <w:szCs w:val="22"/>
        </w:rPr>
        <w:t xml:space="preserve">Cada etapa no supera $1.000.000.</w:t>
      </w:r>
    </w:p>
    <w:p>
      <w:pPr>
        <w:pStyle w:val="Heading2"/>
        <w:spacing w:after="120" w:before="240"/>
      </w:pPr>
      <w:r>
        <w:rPr>
          <w:rFonts w:ascii="Calibri" w:cs="Calibri" w:eastAsia="Calibri" w:hAnsi="Calibri"/>
          <w:b/>
          <w:bCs/>
          <w:sz w:val="24"/>
          <w:szCs w:val="24"/>
        </w:rPr>
        <w:t xml:space="preserve">Etapa A — Páginas nuevas en internet · $980.000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8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Parte</w:t>
            </w:r>
          </w:p>
        </w:tc>
        <w:tc>
          <w:tcPr>
            <w:tcW w:type="dxa" w:w="456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Qué incluye</w:t>
            </w:r>
          </w:p>
        </w:tc>
        <w:tc>
          <w:tcPr>
            <w:tcW w:type="dxa" w:w="20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Valor</w:t>
            </w:r>
          </w:p>
        </w:tc>
      </w:tr>
      <w:tr>
        <w:tc>
          <w:tcPr>
            <w:tcW w:type="dxa" w:w="2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Página Dojo Temuco</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Presentación, programas, horarios, dojos, contacto y noticias</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$380.000</w:t>
            </w:r>
          </w:p>
        </w:tc>
      </w:tr>
      <w:tr>
        <w:tc>
          <w:tcPr>
            <w:tcW w:type="dxa" w:w="2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Página OIKKA Chile</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Escuelas, etapas, qué es OIKKA, fotos, contacto</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$320.000</w:t>
            </w:r>
          </w:p>
        </w:tc>
      </w:tr>
      <w:tr>
        <w:tc>
          <w:tcPr>
            <w:tcW w:type="dxa" w:w="2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Panel de noticias</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Entrar con usuario y contraseña para publicar o borrar noticias</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$200.000</w:t>
            </w:r>
          </w:p>
        </w:tc>
      </w:tr>
      <w:tr>
        <w:tc>
          <w:tcPr>
            <w:tcW w:type="dxa" w:w="2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Publicar en internet</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Dejar las páginas al aire y revisar que todo funcione</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$80.000</w:t>
            </w:r>
          </w:p>
        </w:tc>
      </w:tr>
      <w:tr>
        <w:tc>
          <w:tcPr>
            <w:tcW w:type="dxa" w:w="2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Total Etapa A (recomendado)</w:t>
            </w:r>
          </w:p>
        </w:tc>
        <w:tc>
          <w:tcPr>
            <w:tcW w:type="dxa" w:w="4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Todo lo anterior junto</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$980.000</w:t>
            </w:r>
          </w:p>
        </w:tc>
      </w:tr>
    </w:tbl>
    <w:p>
      <w:pPr>
        <w:pStyle w:val="Heading2"/>
        <w:spacing w:after="120" w:before="240"/>
      </w:pPr>
      <w:r>
        <w:rPr>
          <w:rFonts w:ascii="Calibri" w:cs="Calibri" w:eastAsia="Calibri" w:hAnsi="Calibri"/>
          <w:b/>
          <w:bCs/>
          <w:sz w:val="24"/>
          <w:szCs w:val="24"/>
        </w:rPr>
        <w:t xml:space="preserve">Etapa B — Avisos, eventos y fotos · $750.000</w:t>
      </w:r>
    </w:p>
    <w:p>
      <w:pPr>
        <w:spacing w:after="120"/>
      </w:pPr>
      <w:r>
        <w:rPr>
          <w:rFonts w:ascii="Calibri" w:cs="Calibri" w:eastAsia="Calibri" w:hAnsi="Calibri"/>
          <w:sz w:val="22"/>
          <w:szCs w:val="22"/>
        </w:rPr>
        <w:t xml:space="preserve">Publicar noticias, crear eventos, avisos urgentes, subir fotos y permisos por persona. Tiempo estimado: unas 4 semanas.</w:t>
      </w:r>
    </w:p>
    <w:p>
      <w:pPr>
        <w:pStyle w:val="Heading2"/>
        <w:spacing w:after="120" w:before="240"/>
      </w:pPr>
      <w:r>
        <w:rPr>
          <w:rFonts w:ascii="Calibri" w:cs="Calibri" w:eastAsia="Calibri" w:hAnsi="Calibri"/>
          <w:b/>
          <w:bCs/>
          <w:sz w:val="24"/>
          <w:szCs w:val="24"/>
        </w:rPr>
        <w:t xml:space="preserve">Etapa C — Sistema del dojo (tipo DojApp), por partes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Parte</w:t>
            </w:r>
          </w:p>
        </w:tc>
        <w:tc>
          <w:tcPr>
            <w:tcW w:type="dxa" w:w="416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Qué se entrega</w:t>
            </w:r>
          </w:p>
        </w:tc>
        <w:tc>
          <w:tcPr>
            <w:tcW w:type="dxa" w:w="20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Valor</w:t>
            </w:r>
          </w:p>
        </w:tc>
      </w:tr>
      <w:tr>
        <w:tc>
          <w:tcPr>
            <w:tcW w:type="dxa" w:w="3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C1 · Primero en Temuco (Hombu)</w:t>
            </w:r>
          </w:p>
        </w:tc>
        <w:tc>
          <w:tcPr>
            <w:tcW w:type="dxa" w:w="41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Entrar al sistema, alumnos, grados y asistencia</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$950.000</w:t>
            </w:r>
          </w:p>
        </w:tc>
      </w:tr>
      <w:tr>
        <w:tc>
          <w:tcPr>
            <w:tcW w:type="dxa" w:w="3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C2 · Material y exámenes</w:t>
            </w:r>
          </w:p>
        </w:tc>
        <w:tc>
          <w:tcPr>
            <w:tcW w:type="dxa" w:w="41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Contenidos según el grado + avisos de examen + resumen simple</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$900.000</w:t>
            </w:r>
          </w:p>
        </w:tc>
      </w:tr>
      <w:tr>
        <w:tc>
          <w:tcPr>
            <w:tcW w:type="dxa" w:w="3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C3 · Otras escuelas</w:t>
            </w:r>
          </w:p>
        </w:tc>
        <w:tc>
          <w:tcPr>
            <w:tcW w:type="dxa" w:w="41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Sumar Los Ángeles u otras sedes OIKKA</w:t>
            </w:r>
          </w:p>
        </w:tc>
        <w:tc>
          <w:tcPr>
            <w:tcW w:type="dxa" w:w="2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$850.000</w:t>
            </w:r>
          </w:p>
        </w:tc>
      </w:tr>
    </w:tbl>
    <w:p>
      <w:pPr>
        <w:pStyle w:val="Heading1"/>
        <w:spacing w:after="120" w:before="240"/>
      </w:pPr>
      <w:r>
        <w:rPr>
          <w:rFonts w:ascii="Calibri" w:cs="Calibri" w:eastAsia="Calibri" w:hAnsi="Calibri"/>
          <w:b/>
          <w:bCs/>
          <w:sz w:val="28"/>
          <w:szCs w:val="28"/>
        </w:rPr>
        <w:t xml:space="preserve">5. Pago mensual</w:t>
      </w:r>
    </w:p>
    <w:p>
      <w:pPr>
        <w:spacing w:after="120"/>
      </w:pPr>
      <w:r>
        <w:rPr>
          <w:rFonts w:ascii="Calibri" w:cs="Calibri" w:eastAsia="Calibri" w:hAnsi="Calibri"/>
          <w:sz w:val="22"/>
          <w:szCs w:val="22"/>
        </w:rPr>
        <w:t xml:space="preserve">Plan Simple · $65.000 al mes · Plan con apoyo de publicaciones · $150.000 al mes · Plan completo · $280.000 al mes</w:t>
      </w:r>
    </w:p>
    <w:p>
      <w:pPr>
        <w:pStyle w:val="Heading1"/>
        <w:spacing w:after="120" w:before="240"/>
      </w:pPr>
      <w:r>
        <w:rPr>
          <w:rFonts w:ascii="Calibri" w:cs="Calibri" w:eastAsia="Calibri" w:hAnsi="Calibri"/>
          <w:b/>
          <w:bCs/>
          <w:sz w:val="28"/>
          <w:szCs w:val="28"/>
        </w:rPr>
        <w:t xml:space="preserve">6. Calendario de trabajo (Gantt)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Etapa</w:t>
            </w:r>
          </w:p>
        </w:tc>
        <w:tc>
          <w:tcPr>
            <w:tcW w:type="dxa" w:w="356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Qué pasa</w:t>
            </w:r>
          </w:p>
        </w:tc>
        <w:tc>
          <w:tcPr>
            <w:tcW w:type="dxa" w:w="18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Desde</w:t>
            </w:r>
          </w:p>
        </w:tc>
        <w:tc>
          <w:tcPr>
            <w:tcW w:type="dxa" w:w="18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Hasta</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A · Páginas</w:t>
            </w:r>
          </w:p>
        </w:tc>
        <w:tc>
          <w:tcPr>
            <w:tcW w:type="dxa" w:w="3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 Páginas nuevas en internet</w:t>
            </w:r>
          </w:p>
        </w:tc>
        <w:tc>
          <w:tcPr>
            <w:tcW w:type="dxa" w:w="1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01/09/2026</w:t>
            </w:r>
          </w:p>
        </w:tc>
        <w:tc>
          <w:tcPr>
            <w:tcW w:type="dxa" w:w="1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22/09/2026</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B · Avisos</w:t>
            </w:r>
          </w:p>
        </w:tc>
        <w:tc>
          <w:tcPr>
            <w:tcW w:type="dxa" w:w="3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 Panel de avisos listo</w:t>
            </w:r>
          </w:p>
        </w:tc>
        <w:tc>
          <w:tcPr>
            <w:tcW w:type="dxa" w:w="1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23/09/2026</w:t>
            </w:r>
          </w:p>
        </w:tc>
        <w:tc>
          <w:tcPr>
            <w:tcW w:type="dxa" w:w="1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20/10/2026</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C1 · Dojo</w:t>
            </w:r>
          </w:p>
        </w:tc>
        <w:tc>
          <w:tcPr>
            <w:tcW w:type="dxa" w:w="35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 Sistema de asistencia en uso</w:t>
            </w:r>
          </w:p>
        </w:tc>
        <w:tc>
          <w:tcPr>
            <w:tcW w:type="dxa" w:w="1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21/10/2026</w:t>
            </w:r>
          </w:p>
        </w:tc>
        <w:tc>
          <w:tcPr>
            <w:tcW w:type="dxa" w:w="18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04/12/2026</w:t>
            </w:r>
          </w:p>
        </w:tc>
      </w:tr>
    </w:tbl>
    <w:p>
      <w:pPr>
        <w:pStyle w:val="Heading1"/>
        <w:spacing w:after="120" w:before="240"/>
      </w:pPr>
      <w:r>
        <w:rPr>
          <w:rFonts w:ascii="Calibri" w:cs="Calibri" w:eastAsia="Calibri" w:hAnsi="Calibri"/>
          <w:b/>
          <w:bCs/>
          <w:sz w:val="28"/>
          <w:szCs w:val="28"/>
        </w:rPr>
        <w:t xml:space="preserve">7. Números claros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36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Concepto</w:t>
            </w:r>
          </w:p>
        </w:tc>
        <w:tc>
          <w:tcPr>
            <w:tcW w:type="dxa" w:w="3000"/>
            <w:tcBorders>
              <w:top w:val="single" w:color="CCCCCC" w:sz="4"/>
              <w:left w:val="single" w:color="CCCCCC" w:sz="4"/>
              <w:bottom w:val="single" w:color="CCCCCC" w:sz="4"/>
              <w:right w:val="single" w:color="CCCCCC" w:sz="4"/>
            </w:tcBorders>
            <w:shd w:fill="1F2937" w:val="clear"/>
          </w:tcPr>
          <w:p>
            <w:r>
              <w:rPr>
                <w:rFonts w:ascii="Calibri" w:cs="Calibri" w:eastAsia="Calibri" w:hAnsi="Calibri"/>
                <w:b/>
                <w:bCs/>
                <w:color w:val="FFFFFF"/>
                <w:sz w:val="18"/>
                <w:szCs w:val="18"/>
              </w:rPr>
              <w:t xml:space="preserve">Monto</w:t>
            </w:r>
          </w:p>
        </w:tc>
      </w:tr>
      <w:tr>
        <w:tc>
          <w:tcPr>
            <w:tcW w:type="dxa" w:w="63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Etapa A — ambas páginas + panel + publicar</w:t>
            </w:r>
          </w:p>
        </w:tc>
        <w:tc>
          <w:tcPr>
            <w:tcW w:type="dxa" w:w="3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$980.000</w:t>
            </w:r>
          </w:p>
        </w:tc>
      </w:tr>
      <w:tr>
        <w:tc>
          <w:tcPr>
            <w:tcW w:type="dxa" w:w="63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Plan con apoyo de publicaciones</w:t>
            </w:r>
          </w:p>
        </w:tc>
        <w:tc>
          <w:tcPr>
            <w:tcW w:type="dxa" w:w="3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$150.000 al mes</w:t>
            </w:r>
          </w:p>
        </w:tc>
      </w:tr>
      <w:tr>
        <w:tc>
          <w:tcPr>
            <w:tcW w:type="dxa" w:w="63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Etapa B</w:t>
            </w:r>
          </w:p>
        </w:tc>
        <w:tc>
          <w:tcPr>
            <w:tcW w:type="dxa" w:w="3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$750.000</w:t>
            </w:r>
          </w:p>
        </w:tc>
      </w:tr>
      <w:tr>
        <w:tc>
          <w:tcPr>
            <w:tcW w:type="dxa" w:w="636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Etapa C1 — alumnos y asistencia en Temuco</w:t>
            </w:r>
          </w:p>
        </w:tc>
        <w:tc>
          <w:tcPr>
            <w:tcW w:type="dxa" w:w="300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111827"/>
                <w:sz w:val="18"/>
                <w:szCs w:val="18"/>
              </w:rPr>
              <w:t xml:space="preserve">$950.000</w:t>
            </w:r>
          </w:p>
        </w:tc>
      </w:tr>
    </w:tbl>
    <w:p>
      <w:pPr>
        <w:pStyle w:val="Heading1"/>
        <w:spacing w:after="120" w:before="240"/>
      </w:pPr>
      <w:r>
        <w:rPr>
          <w:rFonts w:ascii="Calibri" w:cs="Calibri" w:eastAsia="Calibri" w:hAnsi="Calibri"/>
          <w:b/>
          <w:bCs/>
          <w:sz w:val="28"/>
          <w:szCs w:val="28"/>
        </w:rPr>
        <w:t xml:space="preserve">8. Cómo se paga</w:t>
      </w:r>
    </w:p>
    <w:p>
      <w:pPr>
        <w:spacing w:after="120"/>
      </w:pPr>
      <w:r>
        <w:rPr>
          <w:rFonts w:ascii="Calibri" w:cs="Calibri" w:eastAsia="Calibri" w:hAnsi="Calibri"/>
          <w:sz w:val="22"/>
          <w:szCs w:val="22"/>
        </w:rPr>
        <w:t xml:space="preserve">Etapas A y B: 50% al aceptar · 50% al publicar. Etapa C: 40% / 30% / 30%. Mensual: cada mes.</w:t>
      </w:r>
    </w:p>
    <w:p>
      <w:pPr>
        <w:pStyle w:val="Heading1"/>
        <w:spacing w:after="120" w:before="240"/>
      </w:pPr>
      <w:r>
        <w:rPr>
          <w:rFonts w:ascii="Calibri" w:cs="Calibri" w:eastAsia="Calibri" w:hAnsi="Calibri"/>
          <w:b/>
          <w:bCs/>
          <w:sz w:val="28"/>
          <w:szCs w:val="28"/>
        </w:rPr>
        <w:t xml:space="preserve">9–11. Beneficios, decisión y contacto</w:t>
      </w:r>
    </w:p>
    <w:p>
      <w:pPr>
        <w:spacing w:after="120"/>
      </w:pPr>
      <w:r>
        <w:rPr>
          <w:rFonts w:ascii="Calibri" w:cs="Calibri" w:eastAsia="Calibri" w:hAnsi="Calibri"/>
          <w:sz w:val="22"/>
          <w:szCs w:val="22"/>
        </w:rPr>
        <w:t xml:space="preserve">Aprobar Etapa A ($980.000) y un plan mensual; confirmar dominios; decidir B y/o C1.</w:t>
      </w:r>
    </w:p>
    <w:p>
      <w:pPr>
        <w:spacing w:after="120"/>
      </w:pPr>
      <w:r>
        <w:rPr>
          <w:rFonts w:ascii="Calibri" w:cs="Calibri" w:eastAsia="Calibri" w:hAnsi="Calibri"/>
          <w:b/>
          <w:bCs/>
          <w:sz w:val="22"/>
          <w:szCs w:val="22"/>
        </w:rPr>
        <w:t xml:space="preserve">Raúl Gutiérrez — Sitios web, sistema de dojo y apoyo mensual</w:t>
      </w:r>
    </w:p>
    <w:p>
      <w:pPr>
        <w:pStyle w:val="Heading1"/>
        <w:spacing w:after="120" w:before="240"/>
      </w:pPr>
      <w:r>
        <w:rPr>
          <w:rFonts w:ascii="Calibri" w:cs="Calibri" w:eastAsia="Calibri" w:hAnsi="Calibri"/>
          <w:b/>
          <w:bCs/>
          <w:sz w:val="28"/>
          <w:szCs w:val="28"/>
        </w:rPr>
        <w:t xml:space="preserve">Anexo — DojApp</w:t>
      </w:r>
    </w:p>
    <w:p>
      <w:pPr>
        <w:spacing w:after="120"/>
      </w:pPr>
      <w:r>
        <w:rPr>
          <w:rFonts w:ascii="Calibri" w:cs="Calibri" w:eastAsia="Calibri" w:hAnsi="Calibri"/>
          <w:sz w:val="22"/>
          <w:szCs w:val="22"/>
        </w:rPr>
        <w:t xml:space="preserve">Oficina digital del dojo: alumnos, asistencia, material por grado, avisos de examen y varias sedes. Las páginas web son la vitrina; DojApp es la herramienta interna.</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c680de3b3810fdf9d83bc6be025d02cb0be5fc.jpg"/><Relationship Id="rId8" Type="http://schemas.openxmlformats.org/officeDocument/2006/relationships/image" Target="media/4bf4a3e0cb88b90844a8c4fbadae210e1a3a7146.jpg"/><Relationship Id="rId9" Type="http://schemas.openxmlformats.org/officeDocument/2006/relationships/image" Target="media/a70c365b606efe54ed85a20d969f6985c5685572.jpg"/><Relationship Id="rId10" Type="http://schemas.openxmlformats.org/officeDocument/2006/relationships/image" Target="media/4cb852f04c7e6e01c1b45bb7aa0a378a67b998b9.jpg"/><Relationship Id="rId11" Type="http://schemas.openxmlformats.org/officeDocument/2006/relationships/image" Target="media/a047610a00be45bfec8eba489b9790d678e01117.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2026-08-18T18:21:06.202Z</dcterms:created>
  <dcterms:modified xsi:type="dcterms:W3CDTF">2026-08-18T18:21:06.202Z</dcterms:modified>
</cp:coreProperties>
</file>

<file path=docProps/custom.xml><?xml version="1.0" encoding="utf-8"?>
<Properties xmlns="http://schemas.openxmlformats.org/officeDocument/2006/custom-properties" xmlns:vt="http://schemas.openxmlformats.org/officeDocument/2006/docPropsVTypes"/>
</file>