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00"/>
        <w:jc w:val="center"/>
      </w:pPr>
      <w:r>
        <w:rPr>
          <w:b/>
          <w:i w:val="0"/>
          <w:color w:val="2EC4B6"/>
          <w:sz w:val="56"/>
        </w:rPr>
        <w:t>HealthTiCloud RIS</w:t>
      </w:r>
    </w:p>
    <w:p>
      <w:pPr>
        <w:spacing w:after="80"/>
        <w:jc w:val="center"/>
      </w:pPr>
      <w:r>
        <w:rPr>
          <w:b/>
          <w:i w:val="0"/>
          <w:color w:val="212529"/>
          <w:sz w:val="32"/>
        </w:rPr>
        <w:t>Manual de usuario</w:t>
      </w:r>
    </w:p>
    <w:p>
      <w:pPr>
        <w:spacing w:after="280"/>
        <w:jc w:val="center"/>
      </w:pPr>
      <w:r>
        <w:rPr>
          <w:b w:val="0"/>
          <w:i w:val="0"/>
          <w:color w:val="212529"/>
          <w:sz w:val="26"/>
        </w:rPr>
        <w:t>Instructivo por perfiles y flujo clínico</w:t>
      </w:r>
    </w:p>
    <w:p>
      <w:pPr>
        <w:spacing w:before="80" w:after="40"/>
        <w:jc w:val="center"/>
      </w:pPr>
      <w:r>
        <w:drawing>
          <wp:inline xmlns:a="http://schemas.openxmlformats.org/drawingml/2006/main" xmlns:pic="http://schemas.openxmlformats.org/drawingml/2006/picture">
            <wp:extent cx="4032000" cy="2520000"/>
            <wp:docPr id="1" name="Picture 1"/>
            <wp:cNvGraphicFramePr>
              <a:graphicFrameLocks noChangeAspect="1"/>
            </wp:cNvGraphicFramePr>
            <a:graphic>
              <a:graphicData uri="http://schemas.openxmlformats.org/drawingml/2006/picture">
                <pic:pic>
                  <pic:nvPicPr>
                    <pic:cNvPr id="0" name="02_layout_agenda.png"/>
                    <pic:cNvPicPr/>
                  </pic:nvPicPr>
                  <pic:blipFill>
                    <a:blip r:embed="rId9"/>
                    <a:stretch>
                      <a:fillRect/>
                    </a:stretch>
                  </pic:blipFill>
                  <pic:spPr>
                    <a:xfrm>
                      <a:off x="0" y="0"/>
                      <a:ext cx="4032000" cy="2520000"/>
                    </a:xfrm>
                    <a:prstGeom prst="rect"/>
                  </pic:spPr>
                </pic:pic>
              </a:graphicData>
            </a:graphic>
          </wp:inline>
        </w:drawing>
      </w:r>
    </w:p>
    <w:p>
      <w:pPr>
        <w:spacing w:after="120"/>
        <w:jc w:val="center"/>
      </w:pPr>
      <w:r>
        <w:rPr>
          <w:b w:val="0"/>
          <w:i/>
          <w:color w:val="6C757D"/>
          <w:sz w:val="20"/>
        </w:rPr>
        <w:t>Sistema de Información Radiológica  ·  Mayo 2026</w:t>
      </w:r>
    </w:p>
    <w:p>
      <w:r>
        <w:br w:type="page"/>
      </w:r>
    </w:p>
    <w:p>
      <w:pPr>
        <w:pStyle w:val="Heading1"/>
      </w:pPr>
      <w:r>
        <w:t>Índice</w:t>
      </w:r>
    </w:p>
    <w:p>
      <w:r>
        <w:fldChar w:fldCharType="begin"/>
      </w:r>
      <w:r>
        <w:instrText xml:space="preserve"> TOC \o "1-2" \h \z \u </w:instrText>
      </w:r>
      <w:r>
        <w:fldChar w:fldCharType="separate"/>
      </w:r>
      <w:r>
        <w:rPr>
          <w:i/>
          <w:color w:val="6C757D"/>
          <w:sz w:val="20"/>
        </w:rPr>
        <w:t>Actualice el índice: clic derecho → Actualizar campo.</w:t>
      </w:r>
      <w:r>
        <w:fldChar w:fldCharType="end"/>
      </w:r>
    </w:p>
    <w:p/>
    <w:p>
      <w:pPr>
        <w:spacing w:after="80"/>
        <w:jc w:val="left"/>
      </w:pPr>
      <w:r>
        <w:rPr>
          <w:b/>
          <w:i w:val="0"/>
          <w:sz w:val="22"/>
        </w:rPr>
        <w:t>Índice estático (referencia rápida):</w:t>
      </w:r>
    </w:p>
    <w:p>
      <w:pPr>
        <w:pStyle w:val="ListBullet"/>
        <w:spacing w:after="40"/>
        <w:ind w:left="283"/>
      </w:pPr>
      <w:r>
        <w:t>1. Introducción al sistema</w:t>
      </w:r>
    </w:p>
    <w:p>
      <w:pPr>
        <w:pStyle w:val="ListBullet"/>
        <w:spacing w:after="40"/>
        <w:ind w:left="283"/>
      </w:pPr>
      <w:r>
        <w:t>2. Flujo clínico completo</w:t>
      </w:r>
    </w:p>
    <w:p>
      <w:pPr>
        <w:pStyle w:val="ListBullet"/>
        <w:spacing w:after="40"/>
        <w:ind w:left="283"/>
      </w:pPr>
      <w:r>
        <w:t>3. Acceso, interfaz y menú según su perfil</w:t>
      </w:r>
    </w:p>
    <w:p>
      <w:pPr>
        <w:pStyle w:val="ListBullet"/>
        <w:spacing w:after="40"/>
        <w:ind w:left="283"/>
      </w:pPr>
      <w:r>
        <w:t>4. Módulo Agenda (Recepción)</w:t>
      </w:r>
    </w:p>
    <w:p>
      <w:pPr>
        <w:pStyle w:val="ListBullet"/>
        <w:spacing w:after="40"/>
        <w:ind w:left="283"/>
      </w:pPr>
      <w:r>
        <w:t>5. Tecnología: Worklist y Atención en salas</w:t>
      </w:r>
    </w:p>
    <w:p>
      <w:pPr>
        <w:pStyle w:val="ListBullet"/>
        <w:spacing w:after="40"/>
        <w:ind w:left="283"/>
      </w:pPr>
      <w:r>
        <w:t>6. Módulo Radiólogo</w:t>
      </w:r>
    </w:p>
    <w:p>
      <w:pPr>
        <w:pStyle w:val="ListBullet"/>
        <w:spacing w:after="40"/>
        <w:ind w:left="283"/>
      </w:pPr>
      <w:r>
        <w:t>7. Módulo Transcripción</w:t>
      </w:r>
    </w:p>
    <w:p>
      <w:pPr>
        <w:pStyle w:val="ListBullet"/>
        <w:spacing w:after="40"/>
        <w:ind w:left="283"/>
      </w:pPr>
      <w:r>
        <w:t>8. Módulo Validación</w:t>
      </w:r>
    </w:p>
    <w:p>
      <w:pPr>
        <w:pStyle w:val="ListBullet"/>
        <w:spacing w:after="40"/>
        <w:ind w:left="283"/>
      </w:pPr>
      <w:r>
        <w:t>9. Módulo Entrega y retiro</w:t>
      </w:r>
    </w:p>
    <w:p>
      <w:pPr>
        <w:pStyle w:val="ListBullet"/>
        <w:spacing w:after="40"/>
        <w:ind w:left="283"/>
      </w:pPr>
      <w:r>
        <w:t>10. Módulo Administración</w:t>
      </w:r>
    </w:p>
    <w:p>
      <w:pPr>
        <w:pStyle w:val="ListBullet"/>
        <w:spacing w:after="40"/>
        <w:ind w:left="283"/>
      </w:pPr>
      <w:r>
        <w:t>11. Módulo Dashboard</w:t>
      </w:r>
    </w:p>
    <w:p>
      <w:pPr>
        <w:pStyle w:val="ListBullet"/>
        <w:spacing w:after="40"/>
        <w:ind w:left="283"/>
      </w:pPr>
      <w:r>
        <w:t>12. Anexo: centros dental y veterinarios</w:t>
      </w:r>
    </w:p>
    <w:p>
      <w:pPr>
        <w:pStyle w:val="ListBullet"/>
        <w:spacing w:after="40"/>
        <w:ind w:left="283"/>
      </w:pPr>
      <w:r>
        <w:t>13. Anexo técnico</w:t>
      </w:r>
    </w:p>
    <w:p>
      <w:r>
        <w:br w:type="page"/>
      </w:r>
    </w:p>
    <w:p>
      <w:pPr>
        <w:pStyle w:val="Heading1"/>
      </w:pPr>
      <w:r>
        <w:t>1. Introducción al sistema</w:t>
      </w:r>
    </w:p>
    <w:p>
      <w:pPr>
        <w:spacing w:after="120"/>
        <w:jc w:val="left"/>
      </w:pPr>
      <w:r>
        <w:rPr>
          <w:b w:val="0"/>
          <w:i w:val="0"/>
        </w:rPr>
        <w:t>HealthTiCloud RIS es la aplicación web del centro para gestionar el recorrido del paciente: desde la cita en recepción hasta la entrega del informe. Cada persona del equipo accede con su usuario y ve solo los módulos que le corresponden según su rol.</w:t>
      </w:r>
    </w:p>
    <w:p>
      <w:pPr>
        <w:spacing w:before="80" w:after="40"/>
        <w:jc w:val="center"/>
      </w:pPr>
      <w:r>
        <w:drawing>
          <wp:inline xmlns:a="http://schemas.openxmlformats.org/drawingml/2006/main" xmlns:pic="http://schemas.openxmlformats.org/drawingml/2006/picture">
            <wp:extent cx="4377600" cy="2736000"/>
            <wp:docPr id="2" name="Picture 2"/>
            <wp:cNvGraphicFramePr>
              <a:graphicFrameLocks noChangeAspect="1"/>
            </wp:cNvGraphicFramePr>
            <a:graphic>
              <a:graphicData uri="http://schemas.openxmlformats.org/drawingml/2006/picture">
                <pic:pic>
                  <pic:nvPicPr>
                    <pic:cNvPr id="0" name="02_layout_agenda.png"/>
                    <pic:cNvPicPr/>
                  </pic:nvPicPr>
                  <pic:blipFill>
                    <a:blip r:embed="rId9"/>
                    <a:stretch>
                      <a:fillRect/>
                    </a:stretch>
                  </pic:blipFill>
                  <pic:spPr>
                    <a:xfrm>
                      <a:off x="0" y="0"/>
                      <a:ext cx="4377600" cy="2736000"/>
                    </a:xfrm>
                    <a:prstGeom prst="rect"/>
                  </pic:spPr>
                </pic:pic>
              </a:graphicData>
            </a:graphic>
          </wp:inline>
        </w:drawing>
      </w:r>
    </w:p>
    <w:p>
      <w:pPr>
        <w:spacing w:after="200"/>
        <w:jc w:val="center"/>
      </w:pPr>
      <w:r>
        <w:rPr>
          <w:i/>
          <w:color w:val="6C757D"/>
          <w:sz w:val="20"/>
        </w:rPr>
        <w:t>Figura 1. Vista principal del sistema (ejemplo: Agenda).</w:t>
      </w:r>
    </w:p>
    <w:p>
      <w:pPr>
        <w:pStyle w:val="Heading2"/>
      </w:pPr>
      <w:r>
        <w:t>Módulos del sistema</w:t>
      </w:r>
    </w:p>
    <w:tbl>
      <w:tblPr>
        <w:tblStyle w:val="TableGrid"/>
        <w:tblW w:type="auto" w:w="0"/>
        <w:tblLayout w:type="fixed"/>
        <w:tblLook w:firstColumn="1" w:firstRow="1" w:lastColumn="0" w:lastRow="0" w:noHBand="0" w:noVBand="1" w:val="04A0"/>
      </w:tblPr>
      <w:tblGrid>
        <w:gridCol w:w="3137"/>
        <w:gridCol w:w="3137"/>
        <w:gridCol w:w="3137"/>
      </w:tblGrid>
      <w:tr>
        <w:tc>
          <w:tcPr>
            <w:tcW w:type="dxa" w:w="1882"/>
            <w:shd w:fill="2EC4B6" w:val="clear"/>
            <w:tcMar>
              <w:top w:w="60" w:type="dxa"/>
              <w:bottom w:w="60" w:type="dxa"/>
              <w:start w:w="100" w:type="dxa"/>
              <w:end w:w="100" w:type="dxa"/>
            </w:tcMar>
          </w:tcPr>
          <w:p>
            <w:r/>
            <w:r>
              <w:rPr>
                <w:b/>
                <w:color w:val="FFFFFF"/>
                <w:sz w:val="20"/>
              </w:rPr>
              <w:t>Módulo</w:t>
            </w:r>
          </w:p>
        </w:tc>
        <w:tc>
          <w:tcPr>
            <w:tcW w:type="dxa" w:w="3566"/>
            <w:shd w:fill="2EC4B6" w:val="clear"/>
            <w:tcMar>
              <w:top w:w="60" w:type="dxa"/>
              <w:bottom w:w="60" w:type="dxa"/>
              <w:start w:w="100" w:type="dxa"/>
              <w:end w:w="100" w:type="dxa"/>
            </w:tcMar>
          </w:tcPr>
          <w:p>
            <w:r/>
            <w:r>
              <w:rPr>
                <w:b/>
                <w:color w:val="FFFFFF"/>
                <w:sz w:val="20"/>
              </w:rPr>
              <w:t>Para qué sirve</w:t>
            </w:r>
          </w:p>
        </w:tc>
        <w:tc>
          <w:tcPr>
            <w:tcW w:type="dxa" w:w="3963"/>
            <w:shd w:fill="2EC4B6" w:val="clear"/>
            <w:tcMar>
              <w:top w:w="60" w:type="dxa"/>
              <w:bottom w:w="60" w:type="dxa"/>
              <w:start w:w="100" w:type="dxa"/>
              <w:end w:w="100" w:type="dxa"/>
            </w:tcMar>
          </w:tcPr>
          <w:p>
            <w:r/>
            <w:r>
              <w:rPr>
                <w:b/>
                <w:color w:val="FFFFFF"/>
                <w:sz w:val="20"/>
              </w:rPr>
              <w:t>Perfiles que suelen usarlo</w:t>
            </w:r>
          </w:p>
        </w:tc>
      </w:tr>
      <w:tr>
        <w:tc>
          <w:tcPr>
            <w:tcW w:type="dxa" w:w="1882"/>
            <w:tcMar>
              <w:top w:w="60" w:type="dxa"/>
              <w:bottom w:w="60" w:type="dxa"/>
              <w:start w:w="100" w:type="dxa"/>
              <w:end w:w="100" w:type="dxa"/>
            </w:tcMar>
          </w:tcPr>
          <w:p>
            <w:r/>
            <w:r>
              <w:rPr>
                <w:sz w:val="20"/>
              </w:rPr>
              <w:t>Agenda</w:t>
            </w:r>
          </w:p>
        </w:tc>
        <w:tc>
          <w:tcPr>
            <w:tcW w:type="dxa" w:w="3566"/>
            <w:tcMar>
              <w:top w:w="60" w:type="dxa"/>
              <w:bottom w:w="60" w:type="dxa"/>
              <w:start w:w="100" w:type="dxa"/>
              <w:end w:w="100" w:type="dxa"/>
            </w:tcMar>
          </w:tcPr>
          <w:p>
            <w:r/>
            <w:r>
              <w:rPr>
                <w:sz w:val="20"/>
              </w:rPr>
              <w:t>Citación, calendario, pagos y confirmación de pacientes.</w:t>
            </w:r>
          </w:p>
        </w:tc>
        <w:tc>
          <w:tcPr>
            <w:tcW w:type="dxa" w:w="3963"/>
            <w:tcMar>
              <w:top w:w="60" w:type="dxa"/>
              <w:bottom w:w="60" w:type="dxa"/>
              <w:start w:w="100" w:type="dxa"/>
              <w:end w:w="100" w:type="dxa"/>
            </w:tcMar>
          </w:tcPr>
          <w:p>
            <w:r/>
            <w:r>
              <w:rPr>
                <w:sz w:val="20"/>
              </w:rPr>
              <w:t>Recepcionista, Administrador</w:t>
            </w:r>
          </w:p>
        </w:tc>
      </w:tr>
      <w:tr>
        <w:tc>
          <w:tcPr>
            <w:tcW w:type="dxa" w:w="1882"/>
            <w:shd w:fill="F8FCFB" w:val="clear"/>
            <w:tcMar>
              <w:top w:w="60" w:type="dxa"/>
              <w:bottom w:w="60" w:type="dxa"/>
              <w:start w:w="100" w:type="dxa"/>
              <w:end w:w="100" w:type="dxa"/>
            </w:tcMar>
          </w:tcPr>
          <w:p>
            <w:r/>
            <w:r>
              <w:rPr>
                <w:sz w:val="20"/>
              </w:rPr>
              <w:t>Worklist</w:t>
            </w:r>
          </w:p>
        </w:tc>
        <w:tc>
          <w:tcPr>
            <w:tcW w:type="dxa" w:w="3566"/>
            <w:shd w:fill="F8FCFB" w:val="clear"/>
            <w:tcMar>
              <w:top w:w="60" w:type="dxa"/>
              <w:bottom w:w="60" w:type="dxa"/>
              <w:start w:w="100" w:type="dxa"/>
              <w:end w:w="100" w:type="dxa"/>
            </w:tcMar>
          </w:tcPr>
          <w:p>
            <w:r/>
            <w:r>
              <w:rPr>
                <w:sz w:val="20"/>
              </w:rPr>
              <w:t>Atención en sala con worklist DICOM (centros clínicos).</w:t>
            </w:r>
          </w:p>
        </w:tc>
        <w:tc>
          <w:tcPr>
            <w:tcW w:type="dxa" w:w="3963"/>
            <w:shd w:fill="F8FCFB" w:val="clear"/>
            <w:tcMar>
              <w:top w:w="60" w:type="dxa"/>
              <w:bottom w:w="60" w:type="dxa"/>
              <w:start w:w="100" w:type="dxa"/>
              <w:end w:w="100" w:type="dxa"/>
            </w:tcMar>
          </w:tcPr>
          <w:p>
            <w:r/>
            <w:r>
              <w:rPr>
                <w:sz w:val="20"/>
              </w:rPr>
              <w:t>Tecnólogo, Administrador</w:t>
            </w:r>
          </w:p>
        </w:tc>
      </w:tr>
      <w:tr>
        <w:tc>
          <w:tcPr>
            <w:tcW w:type="dxa" w:w="1882"/>
            <w:tcMar>
              <w:top w:w="60" w:type="dxa"/>
              <w:bottom w:w="60" w:type="dxa"/>
              <w:start w:w="100" w:type="dxa"/>
              <w:end w:w="100" w:type="dxa"/>
            </w:tcMar>
          </w:tcPr>
          <w:p>
            <w:r/>
            <w:r>
              <w:rPr>
                <w:sz w:val="20"/>
              </w:rPr>
              <w:t>Atención en salas</w:t>
            </w:r>
          </w:p>
        </w:tc>
        <w:tc>
          <w:tcPr>
            <w:tcW w:type="dxa" w:w="3566"/>
            <w:tcMar>
              <w:top w:w="60" w:type="dxa"/>
              <w:bottom w:w="60" w:type="dxa"/>
              <w:start w:w="100" w:type="dxa"/>
              <w:end w:w="100" w:type="dxa"/>
            </w:tcMar>
          </w:tcPr>
          <w:p>
            <w:r/>
            <w:r>
              <w:rPr>
                <w:sz w:val="20"/>
              </w:rPr>
              <w:t>Atención técnica y subida manual de imágenes (dental / vet).</w:t>
            </w:r>
          </w:p>
        </w:tc>
        <w:tc>
          <w:tcPr>
            <w:tcW w:type="dxa" w:w="3963"/>
            <w:tcMar>
              <w:top w:w="60" w:type="dxa"/>
              <w:bottom w:w="60" w:type="dxa"/>
              <w:start w:w="100" w:type="dxa"/>
              <w:end w:w="100" w:type="dxa"/>
            </w:tcMar>
          </w:tcPr>
          <w:p>
            <w:r/>
            <w:r>
              <w:rPr>
                <w:sz w:val="20"/>
              </w:rPr>
              <w:t>Tecnólogo, Administrador</w:t>
            </w:r>
          </w:p>
        </w:tc>
      </w:tr>
      <w:tr>
        <w:tc>
          <w:tcPr>
            <w:tcW w:type="dxa" w:w="1882"/>
            <w:shd w:fill="F8FCFB" w:val="clear"/>
            <w:tcMar>
              <w:top w:w="60" w:type="dxa"/>
              <w:bottom w:w="60" w:type="dxa"/>
              <w:start w:w="100" w:type="dxa"/>
              <w:end w:w="100" w:type="dxa"/>
            </w:tcMar>
          </w:tcPr>
          <w:p>
            <w:r/>
            <w:r>
              <w:rPr>
                <w:sz w:val="20"/>
              </w:rPr>
              <w:t>Radiólogo</w:t>
            </w:r>
          </w:p>
        </w:tc>
        <w:tc>
          <w:tcPr>
            <w:tcW w:type="dxa" w:w="3566"/>
            <w:shd w:fill="F8FCFB" w:val="clear"/>
            <w:tcMar>
              <w:top w:w="60" w:type="dxa"/>
              <w:bottom w:w="60" w:type="dxa"/>
              <w:start w:w="100" w:type="dxa"/>
              <w:end w:w="100" w:type="dxa"/>
            </w:tcMar>
          </w:tcPr>
          <w:p>
            <w:r/>
            <w:r>
              <w:rPr>
                <w:sz w:val="20"/>
              </w:rPr>
              <w:t>Lectura de imágenes, borrador y firma de informes.</w:t>
            </w:r>
          </w:p>
        </w:tc>
        <w:tc>
          <w:tcPr>
            <w:tcW w:type="dxa" w:w="3963"/>
            <w:shd w:fill="F8FCFB" w:val="clear"/>
            <w:tcMar>
              <w:top w:w="60" w:type="dxa"/>
              <w:bottom w:w="60" w:type="dxa"/>
              <w:start w:w="100" w:type="dxa"/>
              <w:end w:w="100" w:type="dxa"/>
            </w:tcMar>
          </w:tcPr>
          <w:p>
            <w:r/>
            <w:r>
              <w:rPr>
                <w:sz w:val="20"/>
              </w:rPr>
              <w:t>Médico radiólogo, Administrador</w:t>
            </w:r>
          </w:p>
        </w:tc>
      </w:tr>
      <w:tr>
        <w:tc>
          <w:tcPr>
            <w:tcW w:type="dxa" w:w="1882"/>
            <w:tcMar>
              <w:top w:w="60" w:type="dxa"/>
              <w:bottom w:w="60" w:type="dxa"/>
              <w:start w:w="100" w:type="dxa"/>
              <w:end w:w="100" w:type="dxa"/>
            </w:tcMar>
          </w:tcPr>
          <w:p>
            <w:r/>
            <w:r>
              <w:rPr>
                <w:sz w:val="20"/>
              </w:rPr>
              <w:t>Transcripción</w:t>
            </w:r>
          </w:p>
        </w:tc>
        <w:tc>
          <w:tcPr>
            <w:tcW w:type="dxa" w:w="3566"/>
            <w:tcMar>
              <w:top w:w="60" w:type="dxa"/>
              <w:bottom w:w="60" w:type="dxa"/>
              <w:start w:w="100" w:type="dxa"/>
              <w:end w:w="100" w:type="dxa"/>
            </w:tcMar>
          </w:tcPr>
          <w:p>
            <w:r/>
            <w:r>
              <w:rPr>
                <w:sz w:val="20"/>
              </w:rPr>
              <w:t>Redacción del informe a partir del audio dictado.</w:t>
            </w:r>
          </w:p>
        </w:tc>
        <w:tc>
          <w:tcPr>
            <w:tcW w:type="dxa" w:w="3963"/>
            <w:tcMar>
              <w:top w:w="60" w:type="dxa"/>
              <w:bottom w:w="60" w:type="dxa"/>
              <w:start w:w="100" w:type="dxa"/>
              <w:end w:w="100" w:type="dxa"/>
            </w:tcMar>
          </w:tcPr>
          <w:p>
            <w:r/>
            <w:r>
              <w:rPr>
                <w:sz w:val="20"/>
              </w:rPr>
              <w:t>Transcriptor, Administrador</w:t>
            </w:r>
          </w:p>
        </w:tc>
      </w:tr>
      <w:tr>
        <w:tc>
          <w:tcPr>
            <w:tcW w:type="dxa" w:w="1882"/>
            <w:shd w:fill="F8FCFB" w:val="clear"/>
            <w:tcMar>
              <w:top w:w="60" w:type="dxa"/>
              <w:bottom w:w="60" w:type="dxa"/>
              <w:start w:w="100" w:type="dxa"/>
              <w:end w:w="100" w:type="dxa"/>
            </w:tcMar>
          </w:tcPr>
          <w:p>
            <w:r/>
            <w:r>
              <w:rPr>
                <w:sz w:val="20"/>
              </w:rPr>
              <w:t>Validación</w:t>
            </w:r>
          </w:p>
        </w:tc>
        <w:tc>
          <w:tcPr>
            <w:tcW w:type="dxa" w:w="3566"/>
            <w:shd w:fill="F8FCFB" w:val="clear"/>
            <w:tcMar>
              <w:top w:w="60" w:type="dxa"/>
              <w:bottom w:w="60" w:type="dxa"/>
              <w:start w:w="100" w:type="dxa"/>
              <w:end w:w="100" w:type="dxa"/>
            </w:tcMar>
          </w:tcPr>
          <w:p>
            <w:r/>
            <w:r>
              <w:rPr>
                <w:sz w:val="20"/>
              </w:rPr>
              <w:t>Revisión y firma final del informe transcrito.</w:t>
            </w:r>
          </w:p>
        </w:tc>
        <w:tc>
          <w:tcPr>
            <w:tcW w:type="dxa" w:w="3963"/>
            <w:shd w:fill="F8FCFB" w:val="clear"/>
            <w:tcMar>
              <w:top w:w="60" w:type="dxa"/>
              <w:bottom w:w="60" w:type="dxa"/>
              <w:start w:w="100" w:type="dxa"/>
              <w:end w:w="100" w:type="dxa"/>
            </w:tcMar>
          </w:tcPr>
          <w:p>
            <w:r/>
            <w:r>
              <w:rPr>
                <w:sz w:val="20"/>
              </w:rPr>
              <w:t>Médico radiólogo, Administrador</w:t>
            </w:r>
          </w:p>
        </w:tc>
      </w:tr>
      <w:tr>
        <w:tc>
          <w:tcPr>
            <w:tcW w:type="dxa" w:w="1882"/>
            <w:tcMar>
              <w:top w:w="60" w:type="dxa"/>
              <w:bottom w:w="60" w:type="dxa"/>
              <w:start w:w="100" w:type="dxa"/>
              <w:end w:w="100" w:type="dxa"/>
            </w:tcMar>
          </w:tcPr>
          <w:p>
            <w:r/>
            <w:r>
              <w:rPr>
                <w:sz w:val="20"/>
              </w:rPr>
              <w:t>Entrega/Retiro</w:t>
            </w:r>
          </w:p>
        </w:tc>
        <w:tc>
          <w:tcPr>
            <w:tcW w:type="dxa" w:w="3566"/>
            <w:tcMar>
              <w:top w:w="60" w:type="dxa"/>
              <w:bottom w:w="60" w:type="dxa"/>
              <w:start w:w="100" w:type="dxa"/>
              <w:end w:w="100" w:type="dxa"/>
            </w:tcMar>
          </w:tcPr>
          <w:p>
            <w:r/>
            <w:r>
              <w:rPr>
                <w:sz w:val="20"/>
              </w:rPr>
              <w:t>Entrega de resultados al paciente o autorizado.</w:t>
            </w:r>
          </w:p>
        </w:tc>
        <w:tc>
          <w:tcPr>
            <w:tcW w:type="dxa" w:w="3963"/>
            <w:tcMar>
              <w:top w:w="60" w:type="dxa"/>
              <w:bottom w:w="60" w:type="dxa"/>
              <w:start w:w="100" w:type="dxa"/>
              <w:end w:w="100" w:type="dxa"/>
            </w:tcMar>
          </w:tcPr>
          <w:p>
            <w:r/>
            <w:r>
              <w:rPr>
                <w:sz w:val="20"/>
              </w:rPr>
              <w:t>Recepcionista, Administrador</w:t>
            </w:r>
          </w:p>
        </w:tc>
      </w:tr>
      <w:tr>
        <w:tc>
          <w:tcPr>
            <w:tcW w:type="dxa" w:w="1882"/>
            <w:shd w:fill="F8FCFB" w:val="clear"/>
            <w:tcMar>
              <w:top w:w="60" w:type="dxa"/>
              <w:bottom w:w="60" w:type="dxa"/>
              <w:start w:w="100" w:type="dxa"/>
              <w:end w:w="100" w:type="dxa"/>
            </w:tcMar>
          </w:tcPr>
          <w:p>
            <w:r/>
            <w:r>
              <w:rPr>
                <w:sz w:val="20"/>
              </w:rPr>
              <w:t>Administración</w:t>
            </w:r>
          </w:p>
        </w:tc>
        <w:tc>
          <w:tcPr>
            <w:tcW w:type="dxa" w:w="3566"/>
            <w:shd w:fill="F8FCFB" w:val="clear"/>
            <w:tcMar>
              <w:top w:w="60" w:type="dxa"/>
              <w:bottom w:w="60" w:type="dxa"/>
              <w:start w:w="100" w:type="dxa"/>
              <w:end w:w="100" w:type="dxa"/>
            </w:tcMar>
          </w:tcPr>
          <w:p>
            <w:r/>
            <w:r>
              <w:rPr>
                <w:sz w:val="20"/>
              </w:rPr>
              <w:t>Usuarios, catálogos, salas, reportes y configuración.</w:t>
            </w:r>
          </w:p>
        </w:tc>
        <w:tc>
          <w:tcPr>
            <w:tcW w:type="dxa" w:w="3963"/>
            <w:shd w:fill="F8FCFB" w:val="clear"/>
            <w:tcMar>
              <w:top w:w="60" w:type="dxa"/>
              <w:bottom w:w="60" w:type="dxa"/>
              <w:start w:w="100" w:type="dxa"/>
              <w:end w:w="100" w:type="dxa"/>
            </w:tcMar>
          </w:tcPr>
          <w:p>
            <w:r/>
            <w:r>
              <w:rPr>
                <w:sz w:val="20"/>
              </w:rPr>
              <w:t>Administrador</w:t>
            </w:r>
          </w:p>
        </w:tc>
      </w:tr>
      <w:tr>
        <w:tc>
          <w:tcPr>
            <w:tcW w:type="dxa" w:w="1882"/>
            <w:tcMar>
              <w:top w:w="60" w:type="dxa"/>
              <w:bottom w:w="60" w:type="dxa"/>
              <w:start w:w="100" w:type="dxa"/>
              <w:end w:w="100" w:type="dxa"/>
            </w:tcMar>
          </w:tcPr>
          <w:p>
            <w:r/>
            <w:r>
              <w:rPr>
                <w:sz w:val="20"/>
              </w:rPr>
              <w:t>Dashboard</w:t>
            </w:r>
          </w:p>
        </w:tc>
        <w:tc>
          <w:tcPr>
            <w:tcW w:type="dxa" w:w="3566"/>
            <w:tcMar>
              <w:top w:w="60" w:type="dxa"/>
              <w:bottom w:w="60" w:type="dxa"/>
              <w:start w:w="100" w:type="dxa"/>
              <w:end w:w="100" w:type="dxa"/>
            </w:tcMar>
          </w:tcPr>
          <w:p>
            <w:r/>
            <w:r>
              <w:rPr>
                <w:sz w:val="20"/>
              </w:rPr>
              <w:t>Indicadores del día: citas, ingresos, flujo clínico.</w:t>
            </w:r>
          </w:p>
        </w:tc>
        <w:tc>
          <w:tcPr>
            <w:tcW w:type="dxa" w:w="3963"/>
            <w:tcMar>
              <w:top w:w="60" w:type="dxa"/>
              <w:bottom w:w="60" w:type="dxa"/>
              <w:start w:w="100" w:type="dxa"/>
              <w:end w:w="100" w:type="dxa"/>
            </w:tcMar>
          </w:tcPr>
          <w:p>
            <w:r/>
            <w:r>
              <w:rPr>
                <w:sz w:val="20"/>
              </w:rPr>
              <w:t>Administrador y supervisión</w:t>
            </w:r>
          </w:p>
        </w:tc>
      </w:tr>
    </w:tbl>
    <w:p>
      <w:pPr>
        <w:spacing w:after="160"/>
      </w:pPr>
    </w:p>
    <w:p>
      <w:r>
        <w:br w:type="page"/>
      </w:r>
    </w:p>
    <w:p>
      <w:pPr>
        <w:pStyle w:val="Heading1"/>
      </w:pPr>
      <w:r>
        <w:t>2. Flujo clínico completo</w:t>
      </w:r>
    </w:p>
    <w:p>
      <w:pPr>
        <w:spacing w:after="120"/>
        <w:jc w:val="left"/>
      </w:pPr>
      <w:r>
        <w:rPr>
          <w:b w:val="0"/>
          <w:i w:val="0"/>
        </w:rPr>
        <w:t>Un paciente típico recorre estas etapas. Varios módulos intervienen en distintos momentos; no es necesario que un mismo usuario vea todos los pasos.</w:t>
      </w:r>
    </w:p>
    <w:p>
      <w:pPr>
        <w:spacing w:before="80" w:after="40"/>
        <w:jc w:val="center"/>
      </w:pPr>
      <w:r>
        <w:drawing>
          <wp:inline xmlns:a="http://schemas.openxmlformats.org/drawingml/2006/main" xmlns:pic="http://schemas.openxmlformats.org/drawingml/2006/picture">
            <wp:extent cx="5976620" cy="1451464"/>
            <wp:docPr id="3" name="Picture 3"/>
            <wp:cNvGraphicFramePr>
              <a:graphicFrameLocks noChangeAspect="1"/>
            </wp:cNvGraphicFramePr>
            <a:graphic>
              <a:graphicData uri="http://schemas.openxmlformats.org/drawingml/2006/picture">
                <pic:pic>
                  <pic:nvPicPr>
                    <pic:cNvPr id="0" name="flujo_clinico.png"/>
                    <pic:cNvPicPr/>
                  </pic:nvPicPr>
                  <pic:blipFill>
                    <a:blip r:embed="rId10"/>
                    <a:stretch>
                      <a:fillRect/>
                    </a:stretch>
                  </pic:blipFill>
                  <pic:spPr>
                    <a:xfrm>
                      <a:off x="0" y="0"/>
                      <a:ext cx="5976620" cy="1451464"/>
                    </a:xfrm>
                    <a:prstGeom prst="rect"/>
                  </pic:spPr>
                </pic:pic>
              </a:graphicData>
            </a:graphic>
          </wp:inline>
        </w:drawing>
      </w:r>
    </w:p>
    <w:p>
      <w:pPr>
        <w:spacing w:after="200"/>
        <w:jc w:val="center"/>
      </w:pPr>
      <w:r>
        <w:rPr>
          <w:i/>
          <w:color w:val="6C757D"/>
          <w:sz w:val="20"/>
        </w:rPr>
        <w:t>Figura 2. Diagrama del flujo clínico.</w:t>
      </w:r>
    </w:p>
    <w:p>
      <w:pPr>
        <w:pStyle w:val="ListNumber"/>
        <w:spacing w:after="60"/>
      </w:pPr>
      <w:r>
        <w:t>Recepción crea la cita en Agenda (paciente, examen, pago).</w:t>
      </w:r>
    </w:p>
    <w:p>
      <w:pPr>
        <w:pStyle w:val="ListNumber"/>
        <w:spacing w:after="60"/>
      </w:pPr>
      <w:r>
        <w:t>Recepción confirma la llegada del paciente al centro.</w:t>
      </w:r>
    </w:p>
    <w:p>
      <w:pPr>
        <w:pStyle w:val="ListNumber"/>
        <w:spacing w:after="60"/>
      </w:pPr>
      <w:r>
        <w:t>Tecnología atiende en Worklist (clínico) o en Atención en salas (dental/vet) y deja las imágenes en PACS.</w:t>
      </w:r>
    </w:p>
    <w:p>
      <w:pPr>
        <w:pStyle w:val="ListNumber"/>
        <w:spacing w:after="60"/>
      </w:pPr>
      <w:r>
        <w:t>El radiólogo interpreta el estudio y produce el informe.</w:t>
      </w:r>
    </w:p>
    <w:p>
      <w:pPr>
        <w:pStyle w:val="ListNumber"/>
        <w:spacing w:after="60"/>
      </w:pPr>
      <w:r>
        <w:t>Si hubo dictado por audio, transcripción redacta el texto.</w:t>
      </w:r>
    </w:p>
    <w:p>
      <w:pPr>
        <w:pStyle w:val="ListNumber"/>
        <w:spacing w:after="60"/>
      </w:pPr>
      <w:r>
        <w:t>El radiólogo valida y firma el informe final.</w:t>
      </w:r>
    </w:p>
    <w:p>
      <w:pPr>
        <w:pStyle w:val="ListNumber"/>
        <w:spacing w:after="60"/>
      </w:pPr>
      <w:r>
        <w:t>Recepción registra la entrega del resultado al paciente.</w:t>
      </w:r>
    </w:p>
    <w:tbl>
      <w:tblPr>
        <w:tblStyle w:val="TableGrid"/>
        <w:tblW w:type="auto" w:w="0"/>
        <w:tblLayout w:type="fixed"/>
        <w:tblLook w:firstColumn="1" w:firstRow="1" w:lastColumn="0" w:lastRow="0" w:noHBand="0" w:noVBand="1" w:val="04A0"/>
      </w:tblPr>
      <w:tblGrid>
        <w:gridCol w:w="3137"/>
        <w:gridCol w:w="3137"/>
        <w:gridCol w:w="3137"/>
      </w:tblGrid>
      <w:tr>
        <w:tc>
          <w:tcPr>
            <w:tcW w:type="dxa" w:w="2576"/>
            <w:shd w:fill="2EC4B6" w:val="clear"/>
            <w:tcMar>
              <w:top w:w="60" w:type="dxa"/>
              <w:bottom w:w="60" w:type="dxa"/>
              <w:start w:w="100" w:type="dxa"/>
              <w:end w:w="100" w:type="dxa"/>
            </w:tcMar>
          </w:tcPr>
          <w:p>
            <w:r/>
            <w:r>
              <w:rPr>
                <w:b/>
                <w:color w:val="FFFFFF"/>
                <w:sz w:val="20"/>
              </w:rPr>
              <w:t>Estado de la cita</w:t>
            </w:r>
          </w:p>
        </w:tc>
        <w:tc>
          <w:tcPr>
            <w:tcW w:type="dxa" w:w="2080"/>
            <w:shd w:fill="2EC4B6" w:val="clear"/>
            <w:tcMar>
              <w:top w:w="60" w:type="dxa"/>
              <w:bottom w:w="60" w:type="dxa"/>
              <w:start w:w="100" w:type="dxa"/>
              <w:end w:w="100" w:type="dxa"/>
            </w:tcMar>
          </w:tcPr>
          <w:p>
            <w:r/>
            <w:r>
              <w:rPr>
                <w:b/>
                <w:color w:val="FFFFFF"/>
                <w:sz w:val="20"/>
              </w:rPr>
              <w:t>Quién actúa</w:t>
            </w:r>
          </w:p>
        </w:tc>
        <w:tc>
          <w:tcPr>
            <w:tcW w:type="dxa" w:w="4755"/>
            <w:shd w:fill="2EC4B6" w:val="clear"/>
            <w:tcMar>
              <w:top w:w="60" w:type="dxa"/>
              <w:bottom w:w="60" w:type="dxa"/>
              <w:start w:w="100" w:type="dxa"/>
              <w:end w:w="100" w:type="dxa"/>
            </w:tcMar>
          </w:tcPr>
          <w:p>
            <w:r/>
            <w:r>
              <w:rPr>
                <w:b/>
                <w:color w:val="FFFFFF"/>
                <w:sz w:val="20"/>
              </w:rPr>
              <w:t>Módulo</w:t>
            </w:r>
          </w:p>
        </w:tc>
      </w:tr>
      <w:tr>
        <w:tc>
          <w:tcPr>
            <w:tcW w:type="dxa" w:w="2576"/>
            <w:tcMar>
              <w:top w:w="60" w:type="dxa"/>
              <w:bottom w:w="60" w:type="dxa"/>
              <w:start w:w="100" w:type="dxa"/>
              <w:end w:w="100" w:type="dxa"/>
            </w:tcMar>
          </w:tcPr>
          <w:p>
            <w:r/>
            <w:r>
              <w:rPr>
                <w:sz w:val="20"/>
              </w:rPr>
              <w:t>Agendado / Confirmado / En espera</w:t>
            </w:r>
          </w:p>
        </w:tc>
        <w:tc>
          <w:tcPr>
            <w:tcW w:type="dxa" w:w="2080"/>
            <w:tcMar>
              <w:top w:w="60" w:type="dxa"/>
              <w:bottom w:w="60" w:type="dxa"/>
              <w:start w:w="100" w:type="dxa"/>
              <w:end w:w="100" w:type="dxa"/>
            </w:tcMar>
          </w:tcPr>
          <w:p>
            <w:r/>
            <w:r>
              <w:rPr>
                <w:sz w:val="20"/>
              </w:rPr>
              <w:t>Recepcionista</w:t>
            </w:r>
          </w:p>
        </w:tc>
        <w:tc>
          <w:tcPr>
            <w:tcW w:type="dxa" w:w="4755"/>
            <w:tcMar>
              <w:top w:w="60" w:type="dxa"/>
              <w:bottom w:w="60" w:type="dxa"/>
              <w:start w:w="100" w:type="dxa"/>
              <w:end w:w="100" w:type="dxa"/>
            </w:tcMar>
          </w:tcPr>
          <w:p>
            <w:r/>
            <w:r>
              <w:rPr>
                <w:sz w:val="20"/>
              </w:rPr>
              <w:t>Agenda</w:t>
            </w:r>
          </w:p>
        </w:tc>
      </w:tr>
      <w:tr>
        <w:tc>
          <w:tcPr>
            <w:tcW w:type="dxa" w:w="2576"/>
            <w:shd w:fill="F8FCFB" w:val="clear"/>
            <w:tcMar>
              <w:top w:w="60" w:type="dxa"/>
              <w:bottom w:w="60" w:type="dxa"/>
              <w:start w:w="100" w:type="dxa"/>
              <w:end w:w="100" w:type="dxa"/>
            </w:tcMar>
          </w:tcPr>
          <w:p>
            <w:r/>
            <w:r>
              <w:rPr>
                <w:sz w:val="20"/>
              </w:rPr>
              <w:t>DICOM enviado / imágenes en PACS</w:t>
            </w:r>
          </w:p>
        </w:tc>
        <w:tc>
          <w:tcPr>
            <w:tcW w:type="dxa" w:w="2080"/>
            <w:shd w:fill="F8FCFB" w:val="clear"/>
            <w:tcMar>
              <w:top w:w="60" w:type="dxa"/>
              <w:bottom w:w="60" w:type="dxa"/>
              <w:start w:w="100" w:type="dxa"/>
              <w:end w:w="100" w:type="dxa"/>
            </w:tcMar>
          </w:tcPr>
          <w:p>
            <w:r/>
            <w:r>
              <w:rPr>
                <w:sz w:val="20"/>
              </w:rPr>
              <w:t>Tecnólogo</w:t>
            </w:r>
          </w:p>
        </w:tc>
        <w:tc>
          <w:tcPr>
            <w:tcW w:type="dxa" w:w="4755"/>
            <w:shd w:fill="F8FCFB" w:val="clear"/>
            <w:tcMar>
              <w:top w:w="60" w:type="dxa"/>
              <w:bottom w:w="60" w:type="dxa"/>
              <w:start w:w="100" w:type="dxa"/>
              <w:end w:w="100" w:type="dxa"/>
            </w:tcMar>
          </w:tcPr>
          <w:p>
            <w:r/>
            <w:r>
              <w:rPr>
                <w:sz w:val="20"/>
              </w:rPr>
              <w:t>Worklist o Atención en salas</w:t>
            </w:r>
          </w:p>
        </w:tc>
      </w:tr>
      <w:tr>
        <w:tc>
          <w:tcPr>
            <w:tcW w:type="dxa" w:w="2576"/>
            <w:tcMar>
              <w:top w:w="60" w:type="dxa"/>
              <w:bottom w:w="60" w:type="dxa"/>
              <w:start w:w="100" w:type="dxa"/>
              <w:end w:w="100" w:type="dxa"/>
            </w:tcMar>
          </w:tcPr>
          <w:p>
            <w:r/>
            <w:r>
              <w:rPr>
                <w:sz w:val="20"/>
              </w:rPr>
              <w:t>En informe / En transcripción</w:t>
            </w:r>
          </w:p>
        </w:tc>
        <w:tc>
          <w:tcPr>
            <w:tcW w:type="dxa" w:w="2080"/>
            <w:tcMar>
              <w:top w:w="60" w:type="dxa"/>
              <w:bottom w:w="60" w:type="dxa"/>
              <w:start w:w="100" w:type="dxa"/>
              <w:end w:w="100" w:type="dxa"/>
            </w:tcMar>
          </w:tcPr>
          <w:p>
            <w:r/>
            <w:r>
              <w:rPr>
                <w:sz w:val="20"/>
              </w:rPr>
              <w:t>Radiólogo / Transcriptor</w:t>
            </w:r>
          </w:p>
        </w:tc>
        <w:tc>
          <w:tcPr>
            <w:tcW w:type="dxa" w:w="4755"/>
            <w:tcMar>
              <w:top w:w="60" w:type="dxa"/>
              <w:bottom w:w="60" w:type="dxa"/>
              <w:start w:w="100" w:type="dxa"/>
              <w:end w:w="100" w:type="dxa"/>
            </w:tcMar>
          </w:tcPr>
          <w:p>
            <w:r/>
            <w:r>
              <w:rPr>
                <w:sz w:val="20"/>
              </w:rPr>
              <w:t>Radiólogo / Transcripción</w:t>
            </w:r>
          </w:p>
        </w:tc>
      </w:tr>
      <w:tr>
        <w:tc>
          <w:tcPr>
            <w:tcW w:type="dxa" w:w="2576"/>
            <w:shd w:fill="F8FCFB" w:val="clear"/>
            <w:tcMar>
              <w:top w:w="60" w:type="dxa"/>
              <w:bottom w:w="60" w:type="dxa"/>
              <w:start w:w="100" w:type="dxa"/>
              <w:end w:w="100" w:type="dxa"/>
            </w:tcMar>
          </w:tcPr>
          <w:p>
            <w:r/>
            <w:r>
              <w:rPr>
                <w:sz w:val="20"/>
              </w:rPr>
              <w:t>Entregable</w:t>
            </w:r>
          </w:p>
        </w:tc>
        <w:tc>
          <w:tcPr>
            <w:tcW w:type="dxa" w:w="2080"/>
            <w:shd w:fill="F8FCFB" w:val="clear"/>
            <w:tcMar>
              <w:top w:w="60" w:type="dxa"/>
              <w:bottom w:w="60" w:type="dxa"/>
              <w:start w:w="100" w:type="dxa"/>
              <w:end w:w="100" w:type="dxa"/>
            </w:tcMar>
          </w:tcPr>
          <w:p>
            <w:r/>
            <w:r>
              <w:rPr>
                <w:sz w:val="20"/>
              </w:rPr>
              <w:t>—</w:t>
            </w:r>
          </w:p>
        </w:tc>
        <w:tc>
          <w:tcPr>
            <w:tcW w:type="dxa" w:w="4755"/>
            <w:shd w:fill="F8FCFB" w:val="clear"/>
            <w:tcMar>
              <w:top w:w="60" w:type="dxa"/>
              <w:bottom w:w="60" w:type="dxa"/>
              <w:start w:w="100" w:type="dxa"/>
              <w:end w:w="100" w:type="dxa"/>
            </w:tcMar>
          </w:tcPr>
          <w:p>
            <w:r/>
            <w:r>
              <w:rPr>
                <w:sz w:val="20"/>
              </w:rPr>
              <w:t>Entrega</w:t>
            </w:r>
          </w:p>
        </w:tc>
      </w:tr>
      <w:tr>
        <w:tc>
          <w:tcPr>
            <w:tcW w:type="dxa" w:w="2576"/>
            <w:tcMar>
              <w:top w:w="60" w:type="dxa"/>
              <w:bottom w:w="60" w:type="dxa"/>
              <w:start w:w="100" w:type="dxa"/>
              <w:end w:w="100" w:type="dxa"/>
            </w:tcMar>
          </w:tcPr>
          <w:p>
            <w:r/>
            <w:r>
              <w:rPr>
                <w:sz w:val="20"/>
              </w:rPr>
              <w:t>Entregado</w:t>
            </w:r>
          </w:p>
        </w:tc>
        <w:tc>
          <w:tcPr>
            <w:tcW w:type="dxa" w:w="2080"/>
            <w:tcMar>
              <w:top w:w="60" w:type="dxa"/>
              <w:bottom w:w="60" w:type="dxa"/>
              <w:start w:w="100" w:type="dxa"/>
              <w:end w:w="100" w:type="dxa"/>
            </w:tcMar>
          </w:tcPr>
          <w:p>
            <w:r/>
            <w:r>
              <w:rPr>
                <w:sz w:val="20"/>
              </w:rPr>
              <w:t>Recepcionista</w:t>
            </w:r>
          </w:p>
        </w:tc>
        <w:tc>
          <w:tcPr>
            <w:tcW w:type="dxa" w:w="4755"/>
            <w:tcMar>
              <w:top w:w="60" w:type="dxa"/>
              <w:bottom w:w="60" w:type="dxa"/>
              <w:start w:w="100" w:type="dxa"/>
              <w:end w:w="100" w:type="dxa"/>
            </w:tcMar>
          </w:tcPr>
          <w:p>
            <w:r/>
            <w:r>
              <w:rPr>
                <w:sz w:val="20"/>
              </w:rPr>
              <w:t>Entrega</w:t>
            </w:r>
          </w:p>
        </w:tc>
      </w:tr>
    </w:tbl>
    <w:p>
      <w:pPr>
        <w:spacing w:after="160"/>
      </w:pPr>
    </w:p>
    <w:p>
      <w:r>
        <w:br w:type="page"/>
      </w:r>
    </w:p>
    <w:p>
      <w:pPr>
        <w:pStyle w:val="Heading1"/>
      </w:pPr>
      <w:r>
        <w:t>3. Acceso, interfaz y menú según su perfil</w:t>
      </w:r>
    </w:p>
    <w:p>
      <w:pPr>
        <w:spacing w:before="80" w:after="40"/>
        <w:jc w:val="center"/>
      </w:pPr>
      <w:r>
        <w:drawing>
          <wp:inline xmlns:a="http://schemas.openxmlformats.org/drawingml/2006/main" xmlns:pic="http://schemas.openxmlformats.org/drawingml/2006/picture">
            <wp:extent cx="1430136" cy="2088000"/>
            <wp:docPr id="4" name="Picture 4"/>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1430136" cy="2088000"/>
                    </a:xfrm>
                    <a:prstGeom prst="rect"/>
                  </pic:spPr>
                </pic:pic>
              </a:graphicData>
            </a:graphic>
          </wp:inline>
        </w:drawing>
      </w:r>
    </w:p>
    <w:p>
      <w:pPr>
        <w:spacing w:after="200"/>
        <w:jc w:val="center"/>
      </w:pPr>
      <w:r>
        <w:rPr>
          <w:i/>
          <w:color w:val="6C757D"/>
          <w:sz w:val="20"/>
        </w:rPr>
        <w:t>Figura 3. Pantalla de inicio de sesión.</w:t>
      </w:r>
    </w:p>
    <w:p>
      <w:pPr>
        <w:pStyle w:val="Heading2"/>
      </w:pPr>
      <w:r>
        <w:t>Inicio de sesión</w:t>
      </w:r>
    </w:p>
    <w:p>
      <w:pPr>
        <w:pStyle w:val="ListNumber"/>
        <w:spacing w:after="60"/>
      </w:pPr>
      <w:r>
        <w:t>Abra la URL del sistema e ingrese el usuario y contraseña entregados por su administrador.</w:t>
      </w:r>
    </w:p>
    <w:p>
      <w:pPr>
        <w:pStyle w:val="ListNumber"/>
        <w:spacing w:after="60"/>
      </w:pPr>
      <w:r>
        <w:t>Tras ingresar, seleccione el laboratorio o sucursal en la barra superior (si aplica).</w:t>
      </w:r>
    </w:p>
    <w:p>
      <w:pPr>
        <w:pStyle w:val="ListNumber"/>
        <w:spacing w:after="60"/>
      </w:pPr>
      <w:r>
        <w:t>El menú lateral muestra los módulos disponibles para usted.</w:t>
      </w:r>
    </w:p>
    <w:p>
      <w:pPr>
        <w:pStyle w:val="Heading2"/>
      </w:pPr>
      <w:r>
        <w:t>¿Por qué veo menos módulos que un compañero?</w:t>
      </w:r>
    </w:p>
    <w:p>
      <w:pPr>
        <w:spacing w:after="120"/>
        <w:jc w:val="left"/>
      </w:pPr>
      <w:r>
        <w:rPr>
          <w:b w:val="0"/>
          <w:i w:val="0"/>
        </w:rPr>
        <w:t>Es normal. El menú lateral se adapta automáticamente al rol asignado a su usuario. Solo aparecen los módulos que necesita para su trabajo diario.</w:t>
      </w:r>
    </w:p>
    <w:p>
      <w:pPr>
        <w:pStyle w:val="ListBullet"/>
        <w:spacing w:after="60"/>
      </w:pPr>
      <w:r>
        <w:t>Si su usuario es Recepcionista, verá Agenda y Entrega/Retiro (y Dashboard si está habilitado).</w:t>
      </w:r>
    </w:p>
    <w:p>
      <w:pPr>
        <w:pStyle w:val="ListBullet"/>
        <w:spacing w:after="60"/>
      </w:pPr>
      <w:r>
        <w:t>Si es Tecnólogo en un centro clínico, verá Worklist; en dental o veterinario verá Atención en salas (no Worklist).</w:t>
      </w:r>
    </w:p>
    <w:p>
      <w:pPr>
        <w:pStyle w:val="ListBullet"/>
        <w:spacing w:after="60"/>
      </w:pPr>
      <w:r>
        <w:t>Si es Radiólogo, verá Radiólogo y Validación.</w:t>
      </w:r>
    </w:p>
    <w:p>
      <w:pPr>
        <w:pStyle w:val="ListBullet"/>
        <w:spacing w:after="60"/>
      </w:pPr>
      <w:r>
        <w:t>Si es Transcriptor, verá solo Transcripción.</w:t>
      </w:r>
    </w:p>
    <w:p>
      <w:pPr>
        <w:pStyle w:val="ListBullet"/>
        <w:spacing w:after="60"/>
      </w:pPr>
      <w:r>
        <w:t>Si es Administrador del centro, verá todos los módulos operativos más Administración y Dashboard.</w:t>
      </w:r>
    </w:p>
    <w:p>
      <w:pPr>
        <w:pStyle w:val="ListBullet"/>
        <w:spacing w:after="60"/>
      </w:pPr>
      <w:r>
        <w:t>Un mismo usuario puede tener varios roles (por ejemplo recepción y tecnología); en ese caso verá la unión de los módulos de esos roles.</w:t>
      </w:r>
    </w:p>
    <w:p>
      <w:pPr>
        <w:pStyle w:val="Heading2"/>
      </w:pPr>
      <w:r>
        <w:t>Qué hacer si falta un módulo</w:t>
      </w:r>
    </w:p>
    <w:p>
      <w:pPr>
        <w:pStyle w:val="ListBullet"/>
        <w:spacing w:after="60"/>
      </w:pPr>
      <w:r>
        <w:t>Verifique que seleccionó el laboratorio correcto en la barra superior.</w:t>
      </w:r>
    </w:p>
    <w:p>
      <w:pPr>
        <w:pStyle w:val="ListBullet"/>
        <w:spacing w:after="60"/>
      </w:pPr>
      <w:r>
        <w:t>Cierre sesión y vuelva a entrar (por si hubo un cambio reciente de permisos).</w:t>
      </w:r>
    </w:p>
    <w:p>
      <w:pPr>
        <w:pStyle w:val="ListBullet"/>
        <w:spacing w:after="60"/>
      </w:pPr>
      <w:r>
        <w:t>Contacte al administrador del centro para revisar sus roles asignados.</w:t>
      </w:r>
    </w:p>
    <w:p>
      <w:pPr>
        <w:pStyle w:val="ListBullet"/>
        <w:spacing w:after="60"/>
      </w:pPr>
      <w:r>
        <w:t>No intente acceder a pantallas ocultas: la API también valida permisos y puede rechazar operaciones.</w:t>
      </w:r>
    </w:p>
    <w:p>
      <w:pPr>
        <w:pStyle w:val="Heading2"/>
      </w:pPr>
      <w:r>
        <w:t>Elementos comunes de la interfaz</w:t>
      </w:r>
    </w:p>
    <w:p>
      <w:pPr>
        <w:pStyle w:val="ListBullet"/>
        <w:spacing w:after="60"/>
      </w:pPr>
      <w:r>
        <w:t>Menú lateral izquierdo: cambio entre módulos visibles para usted.</w:t>
      </w:r>
    </w:p>
    <w:p>
      <w:pPr>
        <w:pStyle w:val="ListBullet"/>
        <w:spacing w:after="60"/>
      </w:pPr>
      <w:r>
        <w:t>Barra superior: laboratorio activo, nombre de usuario y rol.</w:t>
      </w:r>
    </w:p>
    <w:p>
      <w:pPr>
        <w:pStyle w:val="ListBullet"/>
        <w:spacing w:after="60"/>
      </w:pPr>
      <w:r>
        <w:t>Toasts (avisos abajo a la derecha): confirmaciones y errores.</w:t>
      </w:r>
    </w:p>
    <w:p>
      <w:pPr>
        <w:pStyle w:val="ListBullet"/>
        <w:spacing w:after="60"/>
      </w:pPr>
      <w:r>
        <w:t>Modales de confirmación: acciones importantes piden confirmación antes de ejecutarse.</w:t>
      </w:r>
    </w:p>
    <w:tbl>
      <w:tblPr>
        <w:tblStyle w:val="TableGrid"/>
        <w:tblW w:type="auto" w:w="0"/>
        <w:tblLayout w:type="fixed"/>
        <w:tblLook w:firstColumn="1" w:firstRow="1" w:lastColumn="0" w:lastRow="0" w:noHBand="0" w:noVBand="1" w:val="04A0"/>
      </w:tblPr>
      <w:tblGrid>
        <w:gridCol w:w="4706"/>
        <w:gridCol w:w="4706"/>
      </w:tblGrid>
      <w:tr>
        <w:tc>
          <w:tcPr>
            <w:tcW w:type="dxa" w:w="3467"/>
            <w:shd w:fill="2EC4B6" w:val="clear"/>
            <w:tcMar>
              <w:top w:w="60" w:type="dxa"/>
              <w:bottom w:w="60" w:type="dxa"/>
              <w:start w:w="100" w:type="dxa"/>
              <w:end w:w="100" w:type="dxa"/>
            </w:tcMar>
          </w:tcPr>
          <w:p>
            <w:r/>
            <w:r>
              <w:rPr>
                <w:b/>
                <w:color w:val="FFFFFF"/>
                <w:sz w:val="20"/>
              </w:rPr>
              <w:t>Módulo en menú</w:t>
            </w:r>
          </w:p>
        </w:tc>
        <w:tc>
          <w:tcPr>
            <w:tcW w:type="dxa" w:w="5944"/>
            <w:shd w:fill="2EC4B6" w:val="clear"/>
            <w:tcMar>
              <w:top w:w="60" w:type="dxa"/>
              <w:bottom w:w="60" w:type="dxa"/>
              <w:start w:w="100" w:type="dxa"/>
              <w:end w:w="100" w:type="dxa"/>
            </w:tcMar>
          </w:tcPr>
          <w:p>
            <w:r/>
            <w:r>
              <w:rPr>
                <w:b/>
                <w:color w:val="FFFFFF"/>
                <w:sz w:val="20"/>
              </w:rPr>
              <w:t>Roles con acceso</w:t>
            </w:r>
          </w:p>
        </w:tc>
      </w:tr>
      <w:tr>
        <w:tc>
          <w:tcPr>
            <w:tcW w:type="dxa" w:w="3467"/>
            <w:tcMar>
              <w:top w:w="60" w:type="dxa"/>
              <w:bottom w:w="60" w:type="dxa"/>
              <w:start w:w="100" w:type="dxa"/>
              <w:end w:w="100" w:type="dxa"/>
            </w:tcMar>
          </w:tcPr>
          <w:p>
            <w:r/>
            <w:r>
              <w:rPr>
                <w:sz w:val="20"/>
              </w:rPr>
              <w:t>Agenda</w:t>
            </w:r>
          </w:p>
        </w:tc>
        <w:tc>
          <w:tcPr>
            <w:tcW w:type="dxa" w:w="5944"/>
            <w:tcMar>
              <w:top w:w="60" w:type="dxa"/>
              <w:bottom w:w="60" w:type="dxa"/>
              <w:start w:w="100" w:type="dxa"/>
              <w:end w:w="100" w:type="dxa"/>
            </w:tcMar>
          </w:tcPr>
          <w:p>
            <w:r/>
            <w:r>
              <w:rPr>
                <w:sz w:val="20"/>
              </w:rPr>
              <w:t>recepcion, admin</w:t>
            </w:r>
          </w:p>
        </w:tc>
      </w:tr>
      <w:tr>
        <w:tc>
          <w:tcPr>
            <w:tcW w:type="dxa" w:w="3467"/>
            <w:shd w:fill="F8FCFB" w:val="clear"/>
            <w:tcMar>
              <w:top w:w="60" w:type="dxa"/>
              <w:bottom w:w="60" w:type="dxa"/>
              <w:start w:w="100" w:type="dxa"/>
              <w:end w:w="100" w:type="dxa"/>
            </w:tcMar>
          </w:tcPr>
          <w:p>
            <w:r/>
            <w:r>
              <w:rPr>
                <w:sz w:val="20"/>
              </w:rPr>
              <w:t>Worklist</w:t>
            </w:r>
          </w:p>
        </w:tc>
        <w:tc>
          <w:tcPr>
            <w:tcW w:type="dxa" w:w="5944"/>
            <w:shd w:fill="F8FCFB" w:val="clear"/>
            <w:tcMar>
              <w:top w:w="60" w:type="dxa"/>
              <w:bottom w:w="60" w:type="dxa"/>
              <w:start w:w="100" w:type="dxa"/>
              <w:end w:w="100" w:type="dxa"/>
            </w:tcMar>
          </w:tcPr>
          <w:p>
            <w:r/>
            <w:r>
              <w:rPr>
                <w:sz w:val="20"/>
              </w:rPr>
              <w:t>tecnologo, admin (solo centros con MWL)</w:t>
            </w:r>
          </w:p>
        </w:tc>
      </w:tr>
      <w:tr>
        <w:tc>
          <w:tcPr>
            <w:tcW w:type="dxa" w:w="3467"/>
            <w:tcMar>
              <w:top w:w="60" w:type="dxa"/>
              <w:bottom w:w="60" w:type="dxa"/>
              <w:start w:w="100" w:type="dxa"/>
              <w:end w:w="100" w:type="dxa"/>
            </w:tcMar>
          </w:tcPr>
          <w:p>
            <w:r/>
            <w:r>
              <w:rPr>
                <w:sz w:val="20"/>
              </w:rPr>
              <w:t>Atención en salas</w:t>
            </w:r>
          </w:p>
        </w:tc>
        <w:tc>
          <w:tcPr>
            <w:tcW w:type="dxa" w:w="5944"/>
            <w:tcMar>
              <w:top w:w="60" w:type="dxa"/>
              <w:bottom w:w="60" w:type="dxa"/>
              <w:start w:w="100" w:type="dxa"/>
              <w:end w:w="100" w:type="dxa"/>
            </w:tcMar>
          </w:tcPr>
          <w:p>
            <w:r/>
            <w:r>
              <w:rPr>
                <w:sz w:val="20"/>
              </w:rPr>
              <w:t>tecnologo, admin (dental / veterinario / sin MWL)</w:t>
            </w:r>
          </w:p>
        </w:tc>
      </w:tr>
      <w:tr>
        <w:tc>
          <w:tcPr>
            <w:tcW w:type="dxa" w:w="3467"/>
            <w:shd w:fill="F8FCFB" w:val="clear"/>
            <w:tcMar>
              <w:top w:w="60" w:type="dxa"/>
              <w:bottom w:w="60" w:type="dxa"/>
              <w:start w:w="100" w:type="dxa"/>
              <w:end w:w="100" w:type="dxa"/>
            </w:tcMar>
          </w:tcPr>
          <w:p>
            <w:r/>
            <w:r>
              <w:rPr>
                <w:sz w:val="20"/>
              </w:rPr>
              <w:t>Radiólogo</w:t>
            </w:r>
          </w:p>
        </w:tc>
        <w:tc>
          <w:tcPr>
            <w:tcW w:type="dxa" w:w="5944"/>
            <w:shd w:fill="F8FCFB" w:val="clear"/>
            <w:tcMar>
              <w:top w:w="60" w:type="dxa"/>
              <w:bottom w:w="60" w:type="dxa"/>
              <w:start w:w="100" w:type="dxa"/>
              <w:end w:w="100" w:type="dxa"/>
            </w:tcMar>
          </w:tcPr>
          <w:p>
            <w:r/>
            <w:r>
              <w:rPr>
                <w:sz w:val="20"/>
              </w:rPr>
              <w:t>radiologo, admin</w:t>
            </w:r>
          </w:p>
        </w:tc>
      </w:tr>
      <w:tr>
        <w:tc>
          <w:tcPr>
            <w:tcW w:type="dxa" w:w="3467"/>
            <w:tcMar>
              <w:top w:w="60" w:type="dxa"/>
              <w:bottom w:w="60" w:type="dxa"/>
              <w:start w:w="100" w:type="dxa"/>
              <w:end w:w="100" w:type="dxa"/>
            </w:tcMar>
          </w:tcPr>
          <w:p>
            <w:r/>
            <w:r>
              <w:rPr>
                <w:sz w:val="20"/>
              </w:rPr>
              <w:t>Transcripción</w:t>
            </w:r>
          </w:p>
        </w:tc>
        <w:tc>
          <w:tcPr>
            <w:tcW w:type="dxa" w:w="5944"/>
            <w:tcMar>
              <w:top w:w="60" w:type="dxa"/>
              <w:bottom w:w="60" w:type="dxa"/>
              <w:start w:w="100" w:type="dxa"/>
              <w:end w:w="100" w:type="dxa"/>
            </w:tcMar>
          </w:tcPr>
          <w:p>
            <w:r/>
            <w:r>
              <w:rPr>
                <w:sz w:val="20"/>
              </w:rPr>
              <w:t>transcriptor, admin</w:t>
            </w:r>
          </w:p>
        </w:tc>
      </w:tr>
      <w:tr>
        <w:tc>
          <w:tcPr>
            <w:tcW w:type="dxa" w:w="3467"/>
            <w:shd w:fill="F8FCFB" w:val="clear"/>
            <w:tcMar>
              <w:top w:w="60" w:type="dxa"/>
              <w:bottom w:w="60" w:type="dxa"/>
              <w:start w:w="100" w:type="dxa"/>
              <w:end w:w="100" w:type="dxa"/>
            </w:tcMar>
          </w:tcPr>
          <w:p>
            <w:r/>
            <w:r>
              <w:rPr>
                <w:sz w:val="20"/>
              </w:rPr>
              <w:t>Validación</w:t>
            </w:r>
          </w:p>
        </w:tc>
        <w:tc>
          <w:tcPr>
            <w:tcW w:type="dxa" w:w="5944"/>
            <w:shd w:fill="F8FCFB" w:val="clear"/>
            <w:tcMar>
              <w:top w:w="60" w:type="dxa"/>
              <w:bottom w:w="60" w:type="dxa"/>
              <w:start w:w="100" w:type="dxa"/>
              <w:end w:w="100" w:type="dxa"/>
            </w:tcMar>
          </w:tcPr>
          <w:p>
            <w:r/>
            <w:r>
              <w:rPr>
                <w:sz w:val="20"/>
              </w:rPr>
              <w:t>radiologo, admin</w:t>
            </w:r>
          </w:p>
        </w:tc>
      </w:tr>
      <w:tr>
        <w:tc>
          <w:tcPr>
            <w:tcW w:type="dxa" w:w="3467"/>
            <w:tcMar>
              <w:top w:w="60" w:type="dxa"/>
              <w:bottom w:w="60" w:type="dxa"/>
              <w:start w:w="100" w:type="dxa"/>
              <w:end w:w="100" w:type="dxa"/>
            </w:tcMar>
          </w:tcPr>
          <w:p>
            <w:r/>
            <w:r>
              <w:rPr>
                <w:sz w:val="20"/>
              </w:rPr>
              <w:t>Entrega/Retiro</w:t>
            </w:r>
          </w:p>
        </w:tc>
        <w:tc>
          <w:tcPr>
            <w:tcW w:type="dxa" w:w="5944"/>
            <w:tcMar>
              <w:top w:w="60" w:type="dxa"/>
              <w:bottom w:w="60" w:type="dxa"/>
              <w:start w:w="100" w:type="dxa"/>
              <w:end w:w="100" w:type="dxa"/>
            </w:tcMar>
          </w:tcPr>
          <w:p>
            <w:r/>
            <w:r>
              <w:rPr>
                <w:sz w:val="20"/>
              </w:rPr>
              <w:t>recepcion, admin</w:t>
            </w:r>
          </w:p>
        </w:tc>
      </w:tr>
      <w:tr>
        <w:tc>
          <w:tcPr>
            <w:tcW w:type="dxa" w:w="3467"/>
            <w:shd w:fill="F8FCFB" w:val="clear"/>
            <w:tcMar>
              <w:top w:w="60" w:type="dxa"/>
              <w:bottom w:w="60" w:type="dxa"/>
              <w:start w:w="100" w:type="dxa"/>
              <w:end w:w="100" w:type="dxa"/>
            </w:tcMar>
          </w:tcPr>
          <w:p>
            <w:r/>
            <w:r>
              <w:rPr>
                <w:sz w:val="20"/>
              </w:rPr>
              <w:t>Administración</w:t>
            </w:r>
          </w:p>
        </w:tc>
        <w:tc>
          <w:tcPr>
            <w:tcW w:type="dxa" w:w="5944"/>
            <w:shd w:fill="F8FCFB" w:val="clear"/>
            <w:tcMar>
              <w:top w:w="60" w:type="dxa"/>
              <w:bottom w:w="60" w:type="dxa"/>
              <w:start w:w="100" w:type="dxa"/>
              <w:end w:w="100" w:type="dxa"/>
            </w:tcMar>
          </w:tcPr>
          <w:p>
            <w:r/>
            <w:r>
              <w:rPr>
                <w:sz w:val="20"/>
              </w:rPr>
              <w:t>admin</w:t>
            </w:r>
          </w:p>
        </w:tc>
      </w:tr>
      <w:tr>
        <w:tc>
          <w:tcPr>
            <w:tcW w:type="dxa" w:w="3467"/>
            <w:tcMar>
              <w:top w:w="60" w:type="dxa"/>
              <w:bottom w:w="60" w:type="dxa"/>
              <w:start w:w="100" w:type="dxa"/>
              <w:end w:w="100" w:type="dxa"/>
            </w:tcMar>
          </w:tcPr>
          <w:p>
            <w:r/>
            <w:r>
              <w:rPr>
                <w:sz w:val="20"/>
              </w:rPr>
              <w:t>Dashboard</w:t>
            </w:r>
          </w:p>
        </w:tc>
        <w:tc>
          <w:tcPr>
            <w:tcW w:type="dxa" w:w="5944"/>
            <w:tcMar>
              <w:top w:w="60" w:type="dxa"/>
              <w:bottom w:w="60" w:type="dxa"/>
              <w:start w:w="100" w:type="dxa"/>
              <w:end w:w="100" w:type="dxa"/>
            </w:tcMar>
          </w:tcPr>
          <w:p>
            <w:r/>
            <w:r>
              <w:rPr>
                <w:sz w:val="20"/>
              </w:rPr>
              <w:t>admin, recepcion, tecnologo, radiologo, transcriptor</w:t>
            </w:r>
          </w:p>
        </w:tc>
      </w:tr>
    </w:tbl>
    <w:p>
      <w:pPr>
        <w:spacing w:after="160"/>
      </w:pPr>
    </w:p>
    <w:p>
      <w:r>
        <w:br w:type="page"/>
      </w:r>
    </w:p>
    <w:p>
      <w:pPr>
        <w:pStyle w:val="Heading1"/>
      </w:pPr>
      <w:r>
        <w:t>4. Módulo Agenda (Recepción)</w:t>
      </w:r>
    </w:p>
    <w:p>
      <w:pPr>
        <w:spacing w:after="120"/>
        <w:jc w:val="left"/>
      </w:pPr>
      <w:r>
        <w:rPr>
          <w:b w:val="0"/>
          <w:i w:val="0"/>
        </w:rPr>
        <w:t>Acceso: recepcionistas y administradores del centro.</w:t>
      </w:r>
    </w:p>
    <w:p>
      <w:pPr>
        <w:spacing w:before="80" w:after="40"/>
        <w:jc w:val="center"/>
      </w:pPr>
      <w:r>
        <w:drawing>
          <wp:inline xmlns:a="http://schemas.openxmlformats.org/drawingml/2006/main" xmlns:pic="http://schemas.openxmlformats.org/drawingml/2006/picture">
            <wp:extent cx="4492800" cy="2808000"/>
            <wp:docPr id="5" name="Picture 5"/>
            <wp:cNvGraphicFramePr>
              <a:graphicFrameLocks noChangeAspect="1"/>
            </wp:cNvGraphicFramePr>
            <a:graphic>
              <a:graphicData uri="http://schemas.openxmlformats.org/drawingml/2006/picture">
                <pic:pic>
                  <pic:nvPicPr>
                    <pic:cNvPr id="0" name="03_modulo_agenda.png"/>
                    <pic:cNvPicPr/>
                  </pic:nvPicPr>
                  <pic:blipFill>
                    <a:blip r:embed="rId12"/>
                    <a:stretch>
                      <a:fillRect/>
                    </a:stretch>
                  </pic:blipFill>
                  <pic:spPr>
                    <a:xfrm>
                      <a:off x="0" y="0"/>
                      <a:ext cx="4492800" cy="2808000"/>
                    </a:xfrm>
                    <a:prstGeom prst="rect"/>
                  </pic:spPr>
                </pic:pic>
              </a:graphicData>
            </a:graphic>
          </wp:inline>
        </w:drawing>
      </w:r>
    </w:p>
    <w:p>
      <w:pPr>
        <w:spacing w:after="200"/>
        <w:jc w:val="center"/>
      </w:pPr>
      <w:r>
        <w:rPr>
          <w:i/>
          <w:color w:val="6C757D"/>
          <w:sz w:val="20"/>
        </w:rPr>
        <w:t>Figura 4. Calendario de agenda por sala y horario.</w:t>
      </w:r>
    </w:p>
    <w:p>
      <w:pPr>
        <w:pStyle w:val="Heading2"/>
      </w:pPr>
      <w:r>
        <w:t>Qué puede hacer aquí</w:t>
      </w:r>
    </w:p>
    <w:p>
      <w:pPr>
        <w:pStyle w:val="ListBullet"/>
        <w:spacing w:after="60"/>
      </w:pPr>
      <w:r>
        <w:t>Ver el calendario de citas por sala/equipo con códigos de color por estado.</w:t>
      </w:r>
    </w:p>
    <w:p>
      <w:pPr>
        <w:pStyle w:val="ListBullet"/>
        <w:spacing w:after="60"/>
      </w:pPr>
      <w:r>
        <w:t>Buscar pacientes por RUT o apellido en la barra superior.</w:t>
      </w:r>
    </w:p>
    <w:p>
      <w:pPr>
        <w:pStyle w:val="ListBullet"/>
        <w:spacing w:after="60"/>
      </w:pPr>
      <w:r>
        <w:t>Crear una cita nueva (clic en horario libre o botón equivalente).</w:t>
      </w:r>
    </w:p>
    <w:p>
      <w:pPr>
        <w:pStyle w:val="ListBullet"/>
        <w:spacing w:after="60"/>
      </w:pPr>
      <w:r>
        <w:t>Editar una cita existente (clic sobre el evento en el calendario).</w:t>
      </w:r>
    </w:p>
    <w:p>
      <w:pPr>
        <w:pStyle w:val="ListBullet"/>
        <w:spacing w:after="60"/>
      </w:pPr>
      <w:r>
        <w:t>Registrar o actualizar datos del paciente, previsión y médicos.</w:t>
      </w:r>
    </w:p>
    <w:p>
      <w:pPr>
        <w:pStyle w:val="ListBullet"/>
        <w:spacing w:after="60"/>
      </w:pPr>
      <w:r>
        <w:t>Agregar uno o más exámenes, insumos y adjuntar orden médica si corresponde.</w:t>
      </w:r>
    </w:p>
    <w:p>
      <w:pPr>
        <w:pStyle w:val="ListBullet"/>
        <w:spacing w:after="60"/>
      </w:pPr>
      <w:r>
        <w:t>Registrar pago (pendiente, parcial o pagado) y método de cobro.</w:t>
      </w:r>
    </w:p>
    <w:p>
      <w:pPr>
        <w:pStyle w:val="ListBullet"/>
        <w:spacing w:after="60"/>
      </w:pPr>
      <w:r>
        <w:t>Cambiar estado de la cita: confirmar llegada, marcar en espera, anular, etc.</w:t>
      </w:r>
    </w:p>
    <w:p>
      <w:pPr>
        <w:pStyle w:val="ListBullet"/>
        <w:spacing w:after="60"/>
      </w:pPr>
      <w:r>
        <w:t>Si la cita queda Confirmada y el centro es dental o veterinario, aparece un aviso con botón para ir al módulo Atención en salas.</w:t>
      </w:r>
    </w:p>
    <w:p>
      <w:pPr>
        <w:spacing w:before="80" w:after="40"/>
        <w:jc w:val="center"/>
      </w:pPr>
      <w:r>
        <w:drawing>
          <wp:inline xmlns:a="http://schemas.openxmlformats.org/drawingml/2006/main" xmlns:pic="http://schemas.openxmlformats.org/drawingml/2006/picture">
            <wp:extent cx="5261538" cy="3168000"/>
            <wp:docPr id="6" name="Picture 6"/>
            <wp:cNvGraphicFramePr>
              <a:graphicFrameLocks noChangeAspect="1"/>
            </wp:cNvGraphicFramePr>
            <a:graphic>
              <a:graphicData uri="http://schemas.openxmlformats.org/drawingml/2006/picture">
                <pic:pic>
                  <pic:nvPicPr>
                    <pic:cNvPr id="0" name="11_wizard_agenda.png"/>
                    <pic:cNvPicPr/>
                  </pic:nvPicPr>
                  <pic:blipFill>
                    <a:blip r:embed="rId13"/>
                    <a:stretch>
                      <a:fillRect/>
                    </a:stretch>
                  </pic:blipFill>
                  <pic:spPr>
                    <a:xfrm>
                      <a:off x="0" y="0"/>
                      <a:ext cx="5261538" cy="3168000"/>
                    </a:xfrm>
                    <a:prstGeom prst="rect"/>
                  </pic:spPr>
                </pic:pic>
              </a:graphicData>
            </a:graphic>
          </wp:inline>
        </w:drawing>
      </w:r>
    </w:p>
    <w:p>
      <w:pPr>
        <w:spacing w:after="200"/>
        <w:jc w:val="center"/>
      </w:pPr>
      <w:r>
        <w:rPr>
          <w:i/>
          <w:color w:val="6C757D"/>
          <w:sz w:val="20"/>
        </w:rPr>
        <w:t>Figura 5. Formulario de cita por pasos.</w:t>
      </w:r>
    </w:p>
    <w:p>
      <w:pPr>
        <w:pStyle w:val="Heading2"/>
      </w:pPr>
      <w:r>
        <w:t>Wizard de nueva cita (4 pasos)</w:t>
      </w:r>
    </w:p>
    <w:p>
      <w:pPr>
        <w:pStyle w:val="ListNumber"/>
        <w:spacing w:after="60"/>
      </w:pPr>
      <w:r>
        <w:t>Paciente: RUT, nombres, contacto, previsión. Puede recuperar un paciente ya registrado.</w:t>
      </w:r>
    </w:p>
    <w:p>
      <w:pPr>
        <w:pStyle w:val="ListNumber"/>
        <w:spacing w:after="60"/>
      </w:pPr>
      <w:r>
        <w:t>Cita: médico tratante/destinador, sala, fecha, procedencia (Ambulatorio, Hospitalizado, etc.) y prioridad.</w:t>
      </w:r>
    </w:p>
    <w:p>
      <w:pPr>
        <w:pStyle w:val="ListNumber"/>
        <w:spacing w:after="60"/>
      </w:pPr>
      <w:r>
        <w:t>Exámenes: prestaciones del catálogo; puede ajustar precio con justificación.</w:t>
      </w:r>
    </w:p>
    <w:p>
      <w:pPr>
        <w:pStyle w:val="ListNumber"/>
        <w:spacing w:after="60"/>
      </w:pPr>
      <w:r>
        <w:t>Pago: método, montos y estado de cobro antes de guardar.</w:t>
      </w:r>
    </w:p>
    <w:p>
      <w:pPr>
        <w:pStyle w:val="Heading2"/>
      </w:pPr>
      <w:r>
        <w:t>Correo de instrucciones al paciente</w:t>
      </w:r>
    </w:p>
    <w:p>
      <w:pPr>
        <w:spacing w:after="120"/>
        <w:jc w:val="left"/>
      </w:pPr>
      <w:r>
        <w:rPr>
          <w:b w:val="0"/>
          <w:i w:val="0"/>
        </w:rPr>
        <w:t>Al guardar una cita cuya procedencia NO sea Ambulatorio, el sistema puede enviar por correo las instrucciones de preparación configuradas en Administración para cada examen. Requiere email válido del paciente y correo SMTP configurado en el servidor.</w:t>
      </w:r>
    </w:p>
    <w:p>
      <w:pPr>
        <w:pStyle w:val="Heading2"/>
      </w:pPr>
      <w:r>
        <w:t>Colores del calendario</w:t>
      </w:r>
    </w:p>
    <w:p>
      <w:pPr>
        <w:pStyle w:val="ListBullet"/>
        <w:spacing w:after="60"/>
      </w:pPr>
      <w:r>
        <w:t>Violeta: pre-agendado.</w:t>
      </w:r>
    </w:p>
    <w:p>
      <w:pPr>
        <w:pStyle w:val="ListBullet"/>
        <w:spacing w:after="60"/>
      </w:pPr>
      <w:r>
        <w:t>Verde: agendado.</w:t>
      </w:r>
    </w:p>
    <w:p>
      <w:pPr>
        <w:pStyle w:val="ListBullet"/>
        <w:spacing w:after="60"/>
      </w:pPr>
      <w:r>
        <w:t>Azul: confirmado.</w:t>
      </w:r>
    </w:p>
    <w:p>
      <w:pPr>
        <w:pStyle w:val="ListBullet"/>
        <w:spacing w:after="60"/>
      </w:pPr>
      <w:r>
        <w:t>Ámbar: en espera / recepcionado.</w:t>
      </w:r>
    </w:p>
    <w:p>
      <w:pPr>
        <w:pStyle w:val="ListBullet"/>
        <w:spacing w:after="60"/>
      </w:pPr>
      <w:r>
        <w:t>Rojo: anulado o no asiste.</w:t>
      </w:r>
    </w:p>
    <w:p>
      <w:pPr>
        <w:pStyle w:val="ListBullet"/>
        <w:spacing w:after="60"/>
      </w:pPr>
      <w:r>
        <w:t>Gris: ya atendido.</w:t>
      </w:r>
    </w:p>
    <w:p>
      <w:r>
        <w:br w:type="page"/>
      </w:r>
    </w:p>
    <w:p>
      <w:pPr>
        <w:pStyle w:val="Heading1"/>
      </w:pPr>
      <w:r>
        <w:t>5. Tecnología: Worklist y Atención en salas</w:t>
      </w:r>
    </w:p>
    <w:p>
      <w:pPr>
        <w:spacing w:after="120"/>
        <w:jc w:val="left"/>
      </w:pPr>
      <w:r>
        <w:rPr>
          <w:b w:val="0"/>
          <w:i w:val="0"/>
        </w:rPr>
        <w:t>Acceso: tecnólogos y administradores. El menú muestra Worklist o Atención en salas según el tipo de laboratorio activo (no ambos a la vez).</w:t>
      </w:r>
    </w:p>
    <w:p>
      <w:pPr>
        <w:spacing w:before="80" w:after="40"/>
        <w:jc w:val="center"/>
      </w:pPr>
      <w:r>
        <w:drawing>
          <wp:inline xmlns:a="http://schemas.openxmlformats.org/drawingml/2006/main" xmlns:pic="http://schemas.openxmlformats.org/drawingml/2006/picture">
            <wp:extent cx="4492800" cy="2808000"/>
            <wp:docPr id="7" name="Picture 7"/>
            <wp:cNvGraphicFramePr>
              <a:graphicFrameLocks noChangeAspect="1"/>
            </wp:cNvGraphicFramePr>
            <a:graphic>
              <a:graphicData uri="http://schemas.openxmlformats.org/drawingml/2006/picture">
                <pic:pic>
                  <pic:nvPicPr>
                    <pic:cNvPr id="0" name="04_modulo_worklist.png"/>
                    <pic:cNvPicPr/>
                  </pic:nvPicPr>
                  <pic:blipFill>
                    <a:blip r:embed="rId14"/>
                    <a:stretch>
                      <a:fillRect/>
                    </a:stretch>
                  </pic:blipFill>
                  <pic:spPr>
                    <a:xfrm>
                      <a:off x="0" y="0"/>
                      <a:ext cx="4492800" cy="2808000"/>
                    </a:xfrm>
                    <a:prstGeom prst="rect"/>
                  </pic:spPr>
                </pic:pic>
              </a:graphicData>
            </a:graphic>
          </wp:inline>
        </w:drawing>
      </w:r>
    </w:p>
    <w:p>
      <w:pPr>
        <w:spacing w:after="200"/>
        <w:jc w:val="center"/>
      </w:pPr>
      <w:r>
        <w:rPr>
          <w:i/>
          <w:color w:val="6C757D"/>
          <w:sz w:val="20"/>
        </w:rPr>
        <w:t>Figura 6. Lista de pacientes en espera de atención técnica (ejemplo Worklist).</w:t>
      </w:r>
    </w:p>
    <w:p>
      <w:pPr>
        <w:pStyle w:val="Heading2"/>
      </w:pPr>
      <w:r>
        <w:t>Flujo común (todos los centros)</w:t>
      </w:r>
    </w:p>
    <w:p>
      <w:pPr>
        <w:pStyle w:val="ListNumber"/>
        <w:spacing w:after="60"/>
      </w:pPr>
      <w:r>
        <w:t>Recepción agenda y confirma la cita en el módulo Agenda.</w:t>
      </w:r>
    </w:p>
    <w:p>
      <w:pPr>
        <w:pStyle w:val="ListNumber"/>
        <w:spacing w:after="60"/>
      </w:pPr>
      <w:r>
        <w:t>El tecnólogo abre la lista del día y pulsa Atender sobre el paciente.</w:t>
      </w:r>
    </w:p>
    <w:p>
      <w:pPr>
        <w:pStyle w:val="ListNumber"/>
        <w:spacing w:after="60"/>
      </w:pPr>
      <w:r>
        <w:t>Registra anamnesis, insumos y deja las imágenes disponibles en PACS.</w:t>
      </w:r>
    </w:p>
    <w:p>
      <w:pPr>
        <w:pStyle w:val="ListNumber"/>
        <w:spacing w:after="60"/>
      </w:pPr>
      <w:r>
        <w:t>Finaliza la atención para derivar el caso al radiólogo.</w:t>
      </w:r>
    </w:p>
    <w:p>
      <w:pPr>
        <w:pStyle w:val="Heading2"/>
      </w:pPr>
      <w:r>
        <w:t>Worklist — centros clínicos con MWL</w:t>
      </w:r>
    </w:p>
    <w:p>
      <w:pPr>
        <w:pStyle w:val="ListBullet"/>
        <w:spacing w:after="60"/>
      </w:pPr>
      <w:r>
        <w:t>Ver pacientes confirmados, agrupados por cadena de estudios.</w:t>
      </w:r>
    </w:p>
    <w:p>
      <w:pPr>
        <w:pStyle w:val="ListBullet"/>
        <w:spacing w:after="60"/>
      </w:pPr>
      <w:r>
        <w:t>Filtrar por sala/equipo o buscar por RUT o nombre.</w:t>
      </w:r>
    </w:p>
    <w:p>
      <w:pPr>
        <w:pStyle w:val="ListBullet"/>
        <w:spacing w:after="60"/>
      </w:pPr>
      <w:r>
        <w:t>Crear accession y enviar la orden DICOM al equipo (worklist Orthanc).</w:t>
      </w:r>
    </w:p>
    <w:p>
      <w:pPr>
        <w:pStyle w:val="ListBullet"/>
        <w:spacing w:after="60"/>
      </w:pPr>
      <w:r>
        <w:t>El equipo adquiere el estudio; el estado pasa a «En modalidad».</w:t>
      </w:r>
    </w:p>
    <w:p>
      <w:pPr>
        <w:pStyle w:val="ListBullet"/>
        <w:spacing w:after="60"/>
      </w:pPr>
      <w:r>
        <w:t>Completar la atención cuando las imágenes estén en PACS.</w:t>
      </w:r>
    </w:p>
    <w:p>
      <w:pPr>
        <w:pStyle w:val="ListBullet"/>
        <w:spacing w:after="60"/>
      </w:pPr>
      <w:r>
        <w:t>Devolver a recepción con motivo si corresponde.</w:t>
      </w:r>
    </w:p>
    <w:p>
      <w:pPr>
        <w:pStyle w:val="Heading2"/>
      </w:pPr>
      <w:r>
        <w:t>Atención en salas — dental, veterinario o sin worklist</w:t>
      </w:r>
    </w:p>
    <w:p>
      <w:pPr>
        <w:spacing w:after="120"/>
        <w:jc w:val="left"/>
      </w:pPr>
      <w:r>
        <w:rPr>
          <w:b w:val="0"/>
          <w:i w:val="0"/>
        </w:rPr>
        <w:t>Para CBCT, sensores intraorales u otros equipos que exportan DICOM por archivo (sin licencia MWL o sin integración worklist), use este módulo en lugar de Worklist.</w:t>
      </w:r>
    </w:p>
    <w:p>
      <w:pPr>
        <w:pStyle w:val="ListBullet"/>
        <w:spacing w:after="60"/>
      </w:pPr>
      <w:r>
        <w:t>Misma lista de pacientes confirmados desde Agenda.</w:t>
      </w:r>
    </w:p>
    <w:p>
      <w:pPr>
        <w:pStyle w:val="ListBullet"/>
        <w:spacing w:after="60"/>
      </w:pPr>
      <w:r>
        <w:t>En el modal de atención: subir archivo .dcm o .zip exportado del equipo.</w:t>
      </w:r>
    </w:p>
    <w:p>
      <w:pPr>
        <w:pStyle w:val="ListBullet"/>
        <w:spacing w:after="60"/>
      </w:pPr>
      <w:r>
        <w:t>El sistema envía las imágenes a Orthanc y etiqueta RUT, nombre y accession de la cita.</w:t>
      </w:r>
    </w:p>
    <w:p>
      <w:pPr>
        <w:pStyle w:val="ListBullet"/>
        <w:spacing w:after="60"/>
      </w:pPr>
      <w:r>
        <w:t>Estado «Imágenes en PACS» cuando la subida fue exitosa.</w:t>
      </w:r>
    </w:p>
    <w:p>
      <w:pPr>
        <w:pStyle w:val="ListBullet"/>
        <w:spacing w:after="60"/>
      </w:pPr>
      <w:r>
        <w:t>Luego registre anamnesis e insumos y finalice hacia el radiólogo.</w:t>
      </w:r>
    </w:p>
    <w:p>
      <w:pPr>
        <w:pStyle w:val="ListBullet"/>
        <w:spacing w:after="60"/>
      </w:pPr>
      <w:r>
        <w:t>En la barra superior seleccione el laboratorio dental o veterinario correcto antes de operar.</w:t>
      </w:r>
    </w:p>
    <w:p>
      <w:pPr>
        <w:spacing w:after="120"/>
        <w:jc w:val="left"/>
      </w:pPr>
      <w:r>
        <w:rPr>
          <w:b w:val="0"/>
          <w:i w:val="0"/>
        </w:rPr>
        <w:t>Entornos de prueba tras db:seed incluyen «Dental Demo — CBCT Temuco», «Dental Demo — Sucursal Centro», «Veterinaria Demo Sur» y «Veterinaria Demo — Urgencias 24h». El usuario tecnólogo de prueba (friquelme) tiene acceso a esas sedes.</w:t>
      </w:r>
    </w:p>
    <w:p>
      <w:r>
        <w:br w:type="page"/>
      </w:r>
    </w:p>
    <w:p>
      <w:pPr>
        <w:pStyle w:val="Heading1"/>
      </w:pPr>
      <w:r>
        <w:t>6. Módulo Radiólogo</w:t>
      </w:r>
    </w:p>
    <w:p>
      <w:pPr>
        <w:spacing w:after="120"/>
        <w:jc w:val="left"/>
      </w:pPr>
      <w:r>
        <w:rPr>
          <w:b w:val="0"/>
          <w:i w:val="0"/>
        </w:rPr>
        <w:t>Acceso: médicos radiólogos y administradores.</w:t>
      </w:r>
    </w:p>
    <w:p>
      <w:pPr>
        <w:spacing w:before="80" w:after="40"/>
        <w:jc w:val="center"/>
      </w:pPr>
      <w:r>
        <w:drawing>
          <wp:inline xmlns:a="http://schemas.openxmlformats.org/drawingml/2006/main" xmlns:pic="http://schemas.openxmlformats.org/drawingml/2006/picture">
            <wp:extent cx="4492800" cy="2808000"/>
            <wp:docPr id="8" name="Picture 8"/>
            <wp:cNvGraphicFramePr>
              <a:graphicFrameLocks noChangeAspect="1"/>
            </wp:cNvGraphicFramePr>
            <a:graphic>
              <a:graphicData uri="http://schemas.openxmlformats.org/drawingml/2006/picture">
                <pic:pic>
                  <pic:nvPicPr>
                    <pic:cNvPr id="0" name="05_modulo_radiologo.png"/>
                    <pic:cNvPicPr/>
                  </pic:nvPicPr>
                  <pic:blipFill>
                    <a:blip r:embed="rId15"/>
                    <a:stretch>
                      <a:fillRect/>
                    </a:stretch>
                  </pic:blipFill>
                  <pic:spPr>
                    <a:xfrm>
                      <a:off x="0" y="0"/>
                      <a:ext cx="4492800" cy="2808000"/>
                    </a:xfrm>
                    <a:prstGeom prst="rect"/>
                  </pic:spPr>
                </pic:pic>
              </a:graphicData>
            </a:graphic>
          </wp:inline>
        </w:drawing>
      </w:r>
    </w:p>
    <w:p>
      <w:pPr>
        <w:spacing w:after="200"/>
        <w:jc w:val="center"/>
      </w:pPr>
      <w:r>
        <w:rPr>
          <w:i/>
          <w:color w:val="6C757D"/>
          <w:sz w:val="20"/>
        </w:rPr>
        <w:t>Figura 7. Estudios pendientes de informe.</w:t>
      </w:r>
    </w:p>
    <w:p>
      <w:pPr>
        <w:pStyle w:val="Heading2"/>
      </w:pPr>
      <w:r>
        <w:t>Qué puede hacer aquí</w:t>
      </w:r>
    </w:p>
    <w:p>
      <w:pPr>
        <w:pStyle w:val="ListBullet"/>
        <w:spacing w:after="60"/>
      </w:pPr>
      <w:r>
        <w:t>Ver estudios listos para lectura (cadena de atención completa en worklist).</w:t>
      </w:r>
    </w:p>
    <w:p>
      <w:pPr>
        <w:pStyle w:val="ListBullet"/>
        <w:spacing w:after="60"/>
      </w:pPr>
      <w:r>
        <w:t>Abrir visor DICOM/PACS vinculado al accession number del estudio.</w:t>
      </w:r>
    </w:p>
    <w:p>
      <w:pPr>
        <w:pStyle w:val="ListBullet"/>
        <w:spacing w:after="60"/>
      </w:pPr>
      <w:r>
        <w:t>Redactar borrador con hallazgos y conclusión.</w:t>
      </w:r>
    </w:p>
    <w:p>
      <w:pPr>
        <w:pStyle w:val="ListBullet"/>
        <w:spacing w:after="60"/>
      </w:pPr>
      <w:r>
        <w:t>Guardar borrador y continuar más tarde.</w:t>
      </w:r>
    </w:p>
    <w:p>
      <w:pPr>
        <w:pStyle w:val="ListBullet"/>
        <w:spacing w:after="60"/>
      </w:pPr>
      <w:r>
        <w:t>Firmar y liberar el informe (si redactó directamente en pantalla).</w:t>
      </w:r>
    </w:p>
    <w:p>
      <w:pPr>
        <w:pStyle w:val="ListBullet"/>
        <w:spacing w:after="60"/>
      </w:pPr>
      <w:r>
        <w:t>Enviar a Transcripción si dictó el informe por audio.</w:t>
      </w:r>
    </w:p>
    <w:p>
      <w:pPr>
        <w:pStyle w:val="ListBullet"/>
        <w:spacing w:after="60"/>
      </w:pPr>
      <w:r>
        <w:t>Devolver al tecnólogo con motivo si la imagen tiene problemas técnicos.</w:t>
      </w:r>
    </w:p>
    <w:p>
      <w:r>
        <w:br w:type="page"/>
      </w:r>
    </w:p>
    <w:p>
      <w:pPr>
        <w:pStyle w:val="Heading1"/>
      </w:pPr>
      <w:r>
        <w:t>7. Módulo Transcripción</w:t>
      </w:r>
    </w:p>
    <w:p>
      <w:pPr>
        <w:spacing w:after="120"/>
        <w:jc w:val="left"/>
      </w:pPr>
      <w:r>
        <w:rPr>
          <w:b w:val="0"/>
          <w:i w:val="0"/>
        </w:rPr>
        <w:t>Acceso: transcriptores y administradores.</w:t>
      </w:r>
    </w:p>
    <w:p>
      <w:pPr>
        <w:spacing w:before="80" w:after="40"/>
        <w:jc w:val="center"/>
      </w:pPr>
      <w:r>
        <w:drawing>
          <wp:inline xmlns:a="http://schemas.openxmlformats.org/drawingml/2006/main" xmlns:pic="http://schemas.openxmlformats.org/drawingml/2006/picture">
            <wp:extent cx="4492800" cy="2808000"/>
            <wp:docPr id="9" name="Picture 9"/>
            <wp:cNvGraphicFramePr>
              <a:graphicFrameLocks noChangeAspect="1"/>
            </wp:cNvGraphicFramePr>
            <a:graphic>
              <a:graphicData uri="http://schemas.openxmlformats.org/drawingml/2006/picture">
                <pic:pic>
                  <pic:nvPicPr>
                    <pic:cNvPr id="0" name="06_modulo_transcripcion.png"/>
                    <pic:cNvPicPr/>
                  </pic:nvPicPr>
                  <pic:blipFill>
                    <a:blip r:embed="rId16"/>
                    <a:stretch>
                      <a:fillRect/>
                    </a:stretch>
                  </pic:blipFill>
                  <pic:spPr>
                    <a:xfrm>
                      <a:off x="0" y="0"/>
                      <a:ext cx="4492800" cy="2808000"/>
                    </a:xfrm>
                    <a:prstGeom prst="rect"/>
                  </pic:spPr>
                </pic:pic>
              </a:graphicData>
            </a:graphic>
          </wp:inline>
        </w:drawing>
      </w:r>
    </w:p>
    <w:p>
      <w:pPr>
        <w:spacing w:after="200"/>
        <w:jc w:val="center"/>
      </w:pPr>
      <w:r>
        <w:rPr>
          <w:i/>
          <w:color w:val="6C757D"/>
          <w:sz w:val="20"/>
        </w:rPr>
        <w:t>Figura 8. Cola de audios pendientes de transcribir.</w:t>
      </w:r>
    </w:p>
    <w:p>
      <w:pPr>
        <w:pStyle w:val="Heading2"/>
      </w:pPr>
      <w:r>
        <w:t>Qué puede hacer aquí</w:t>
      </w:r>
    </w:p>
    <w:p>
      <w:pPr>
        <w:pStyle w:val="ListBullet"/>
        <w:spacing w:after="60"/>
      </w:pPr>
      <w:r>
        <w:t>Ver estudios con audio dictado pendiente de redacción.</w:t>
      </w:r>
    </w:p>
    <w:p>
      <w:pPr>
        <w:pStyle w:val="ListBullet"/>
        <w:spacing w:after="60"/>
      </w:pPr>
      <w:r>
        <w:t>Escuchar el audio y transcribir al editor de informe.</w:t>
      </w:r>
    </w:p>
    <w:p>
      <w:pPr>
        <w:pStyle w:val="ListBullet"/>
        <w:spacing w:after="60"/>
      </w:pPr>
      <w:r>
        <w:t>Guardar borrador sin cerrar el caso.</w:t>
      </w:r>
    </w:p>
    <w:p>
      <w:pPr>
        <w:pStyle w:val="ListBullet"/>
        <w:spacing w:after="60"/>
      </w:pPr>
      <w:r>
        <w:t>Enviar a Validación cuando el texto esté completo.</w:t>
      </w:r>
    </w:p>
    <w:p>
      <w:pPr>
        <w:pStyle w:val="ListBullet"/>
        <w:spacing w:after="60"/>
      </w:pPr>
      <w:r>
        <w:t>Devolver el audio al radiólogo si está inaudible, cortado o vacío (indicando motivo).</w:t>
      </w:r>
    </w:p>
    <w:p>
      <w:r>
        <w:br w:type="page"/>
      </w:r>
    </w:p>
    <w:p>
      <w:pPr>
        <w:pStyle w:val="Heading1"/>
      </w:pPr>
      <w:r>
        <w:t>8. Módulo Validación</w:t>
      </w:r>
    </w:p>
    <w:p>
      <w:pPr>
        <w:spacing w:after="120"/>
        <w:jc w:val="left"/>
      </w:pPr>
      <w:r>
        <w:rPr>
          <w:b w:val="0"/>
          <w:i w:val="0"/>
        </w:rPr>
        <w:t>Acceso: radiólogos (validación de informes transcritos) y administradores.</w:t>
      </w:r>
    </w:p>
    <w:p>
      <w:pPr>
        <w:spacing w:before="80" w:after="40"/>
        <w:jc w:val="center"/>
      </w:pPr>
      <w:r>
        <w:drawing>
          <wp:inline xmlns:a="http://schemas.openxmlformats.org/drawingml/2006/main" xmlns:pic="http://schemas.openxmlformats.org/drawingml/2006/picture">
            <wp:extent cx="4492800" cy="2808000"/>
            <wp:docPr id="10" name="Picture 10"/>
            <wp:cNvGraphicFramePr>
              <a:graphicFrameLocks noChangeAspect="1"/>
            </wp:cNvGraphicFramePr>
            <a:graphic>
              <a:graphicData uri="http://schemas.openxmlformats.org/drawingml/2006/picture">
                <pic:pic>
                  <pic:nvPicPr>
                    <pic:cNvPr id="0" name="07_modulo_validacion.png"/>
                    <pic:cNvPicPr/>
                  </pic:nvPicPr>
                  <pic:blipFill>
                    <a:blip r:embed="rId17"/>
                    <a:stretch>
                      <a:fillRect/>
                    </a:stretch>
                  </pic:blipFill>
                  <pic:spPr>
                    <a:xfrm>
                      <a:off x="0" y="0"/>
                      <a:ext cx="4492800" cy="2808000"/>
                    </a:xfrm>
                    <a:prstGeom prst="rect"/>
                  </pic:spPr>
                </pic:pic>
              </a:graphicData>
            </a:graphic>
          </wp:inline>
        </w:drawing>
      </w:r>
    </w:p>
    <w:p>
      <w:pPr>
        <w:spacing w:after="200"/>
        <w:jc w:val="center"/>
      </w:pPr>
      <w:r>
        <w:rPr>
          <w:i/>
          <w:color w:val="6C757D"/>
          <w:sz w:val="20"/>
        </w:rPr>
        <w:t>Figura 9. Informes pendientes de validación.</w:t>
      </w:r>
    </w:p>
    <w:p>
      <w:pPr>
        <w:pStyle w:val="Heading2"/>
      </w:pPr>
      <w:r>
        <w:t>Qué puede hacer aquí</w:t>
      </w:r>
    </w:p>
    <w:p>
      <w:pPr>
        <w:pStyle w:val="ListBullet"/>
        <w:spacing w:after="60"/>
      </w:pPr>
      <w:r>
        <w:t>Revisar informes transcritos antes de la firma definitiva.</w:t>
      </w:r>
    </w:p>
    <w:p>
      <w:pPr>
        <w:pStyle w:val="ListBullet"/>
        <w:spacing w:after="60"/>
      </w:pPr>
      <w:r>
        <w:t>Comparar texto con datos del paciente y estándares del centro.</w:t>
      </w:r>
    </w:p>
    <w:p>
      <w:pPr>
        <w:pStyle w:val="ListBullet"/>
        <w:spacing w:after="60"/>
      </w:pPr>
      <w:r>
        <w:t>Firmar y liberar: la cita pasa a estado entregable.</w:t>
      </w:r>
    </w:p>
    <w:p>
      <w:pPr>
        <w:pStyle w:val="ListBullet"/>
        <w:spacing w:after="60"/>
      </w:pPr>
      <w:r>
        <w:t>Devolver a secretaría/transcripción con observaciones si requiere corrección.</w:t>
      </w:r>
    </w:p>
    <w:p>
      <w:r>
        <w:br w:type="page"/>
      </w:r>
    </w:p>
    <w:p>
      <w:pPr>
        <w:pStyle w:val="Heading1"/>
      </w:pPr>
      <w:r>
        <w:t>9. Módulo Entrega y retiro</w:t>
      </w:r>
    </w:p>
    <w:p>
      <w:pPr>
        <w:spacing w:after="120"/>
        <w:jc w:val="left"/>
      </w:pPr>
      <w:r>
        <w:rPr>
          <w:b w:val="0"/>
          <w:i w:val="0"/>
        </w:rPr>
        <w:t>Acceso: recepcionistas y administradores.</w:t>
      </w:r>
    </w:p>
    <w:p>
      <w:pPr>
        <w:spacing w:before="80" w:after="40"/>
        <w:jc w:val="center"/>
      </w:pPr>
      <w:r>
        <w:drawing>
          <wp:inline xmlns:a="http://schemas.openxmlformats.org/drawingml/2006/main" xmlns:pic="http://schemas.openxmlformats.org/drawingml/2006/picture">
            <wp:extent cx="4492800" cy="2808000"/>
            <wp:docPr id="11" name="Picture 11"/>
            <wp:cNvGraphicFramePr>
              <a:graphicFrameLocks noChangeAspect="1"/>
            </wp:cNvGraphicFramePr>
            <a:graphic>
              <a:graphicData uri="http://schemas.openxmlformats.org/drawingml/2006/picture">
                <pic:pic>
                  <pic:nvPicPr>
                    <pic:cNvPr id="0" name="08_modulo_entrega.png"/>
                    <pic:cNvPicPr/>
                  </pic:nvPicPr>
                  <pic:blipFill>
                    <a:blip r:embed="rId18"/>
                    <a:stretch>
                      <a:fillRect/>
                    </a:stretch>
                  </pic:blipFill>
                  <pic:spPr>
                    <a:xfrm>
                      <a:off x="0" y="0"/>
                      <a:ext cx="4492800" cy="2808000"/>
                    </a:xfrm>
                    <a:prstGeom prst="rect"/>
                  </pic:spPr>
                </pic:pic>
              </a:graphicData>
            </a:graphic>
          </wp:inline>
        </w:drawing>
      </w:r>
    </w:p>
    <w:p>
      <w:pPr>
        <w:spacing w:after="200"/>
        <w:jc w:val="center"/>
      </w:pPr>
      <w:r>
        <w:rPr>
          <w:i/>
          <w:color w:val="6C757D"/>
          <w:sz w:val="20"/>
        </w:rPr>
        <w:t>Figura 10. Resultados listos para retiro.</w:t>
      </w:r>
    </w:p>
    <w:p>
      <w:pPr>
        <w:pStyle w:val="Heading2"/>
      </w:pPr>
      <w:r>
        <w:t>Qué puede hacer aquí</w:t>
      </w:r>
    </w:p>
    <w:p>
      <w:pPr>
        <w:pStyle w:val="ListBullet"/>
        <w:spacing w:after="60"/>
      </w:pPr>
      <w:r>
        <w:t>Buscar pacientes con informes firmados (estado entregable).</w:t>
      </w:r>
    </w:p>
    <w:p>
      <w:pPr>
        <w:pStyle w:val="ListBullet"/>
        <w:spacing w:after="60"/>
      </w:pPr>
      <w:r>
        <w:t>Filtrar pendientes de retiro o ya entregados.</w:t>
      </w:r>
    </w:p>
    <w:p>
      <w:pPr>
        <w:pStyle w:val="ListBullet"/>
        <w:spacing w:after="60"/>
      </w:pPr>
      <w:r>
        <w:t>Registrar quién retira (RUT), relación con el paciente y método.</w:t>
      </w:r>
    </w:p>
    <w:p>
      <w:pPr>
        <w:pStyle w:val="ListBullet"/>
        <w:spacing w:after="60"/>
      </w:pPr>
      <w:r>
        <w:t>Confirmar entrega presencial, envío por correo o registro de impresión.</w:t>
      </w:r>
    </w:p>
    <w:p>
      <w:pPr>
        <w:pStyle w:val="ListBullet"/>
        <w:spacing w:after="60"/>
      </w:pPr>
      <w:r>
        <w:t>Revertir una entrega si hubo error (según permisos del centro).</w:t>
      </w:r>
    </w:p>
    <w:p>
      <w:r>
        <w:br w:type="page"/>
      </w:r>
    </w:p>
    <w:p>
      <w:pPr>
        <w:pStyle w:val="Heading1"/>
      </w:pPr>
      <w:r>
        <w:t>10. Módulo Administración</w:t>
      </w:r>
    </w:p>
    <w:p>
      <w:pPr>
        <w:spacing w:after="120"/>
        <w:jc w:val="left"/>
      </w:pPr>
      <w:r>
        <w:rPr>
          <w:b w:val="0"/>
          <w:i w:val="0"/>
        </w:rPr>
        <w:t>Acceso: administradores del centro. No visible para recepción, tecnología ni radiología en su día a día.</w:t>
      </w:r>
    </w:p>
    <w:p>
      <w:pPr>
        <w:spacing w:before="80" w:after="40"/>
        <w:jc w:val="center"/>
      </w:pPr>
      <w:r>
        <w:drawing>
          <wp:inline xmlns:a="http://schemas.openxmlformats.org/drawingml/2006/main" xmlns:pic="http://schemas.openxmlformats.org/drawingml/2006/picture">
            <wp:extent cx="4492800" cy="2808000"/>
            <wp:docPr id="12" name="Picture 12"/>
            <wp:cNvGraphicFramePr>
              <a:graphicFrameLocks noChangeAspect="1"/>
            </wp:cNvGraphicFramePr>
            <a:graphic>
              <a:graphicData uri="http://schemas.openxmlformats.org/drawingml/2006/picture">
                <pic:pic>
                  <pic:nvPicPr>
                    <pic:cNvPr id="0" name="09_modulo_admin.png"/>
                    <pic:cNvPicPr/>
                  </pic:nvPicPr>
                  <pic:blipFill>
                    <a:blip r:embed="rId19"/>
                    <a:stretch>
                      <a:fillRect/>
                    </a:stretch>
                  </pic:blipFill>
                  <pic:spPr>
                    <a:xfrm>
                      <a:off x="0" y="0"/>
                      <a:ext cx="4492800" cy="2808000"/>
                    </a:xfrm>
                    <a:prstGeom prst="rect"/>
                  </pic:spPr>
                </pic:pic>
              </a:graphicData>
            </a:graphic>
          </wp:inline>
        </w:drawing>
      </w:r>
    </w:p>
    <w:p>
      <w:pPr>
        <w:spacing w:after="200"/>
        <w:jc w:val="center"/>
      </w:pPr>
      <w:r>
        <w:rPr>
          <w:i/>
          <w:color w:val="6C757D"/>
          <w:sz w:val="20"/>
        </w:rPr>
        <w:t>Figura 11. Panel de administración del centro.</w:t>
      </w:r>
    </w:p>
    <w:p>
      <w:pPr>
        <w:pStyle w:val="Heading2"/>
      </w:pPr>
      <w:r>
        <w:t>Qué puede hacer aquí</w:t>
      </w:r>
    </w:p>
    <w:p>
      <w:pPr>
        <w:pStyle w:val="ListBullet"/>
        <w:spacing w:after="60"/>
      </w:pPr>
      <w:r>
        <w:t>Gestionar usuarios: crear, editar roles, asignar laboratorios.</w:t>
      </w:r>
    </w:p>
    <w:p>
      <w:pPr>
        <w:pStyle w:val="ListBullet"/>
        <w:spacing w:after="60"/>
      </w:pPr>
      <w:r>
        <w:t>Configurar salas/equipos: modalidad, AE Title, IP DICOM.</w:t>
      </w:r>
    </w:p>
    <w:p>
      <w:pPr>
        <w:pStyle w:val="ListBullet"/>
        <w:spacing w:after="60"/>
      </w:pPr>
      <w:r>
        <w:t>Mantener catálogo de exámenes, precios e instrucciones por correo.</w:t>
      </w:r>
    </w:p>
    <w:p>
      <w:pPr>
        <w:pStyle w:val="ListBullet"/>
        <w:spacing w:after="60"/>
      </w:pPr>
      <w:r>
        <w:t>Administrar insumos, previsiones, planes y convenios.</w:t>
      </w:r>
    </w:p>
    <w:p>
      <w:pPr>
        <w:pStyle w:val="ListBullet"/>
        <w:spacing w:after="60"/>
      </w:pPr>
      <w:r>
        <w:t>Plantillas de informes y parámetros del centro.</w:t>
      </w:r>
    </w:p>
    <w:p>
      <w:pPr>
        <w:pStyle w:val="ListBullet"/>
        <w:spacing w:after="60"/>
      </w:pPr>
      <w:r>
        <w:t>Reportes de producción, honorarios y nómina.</w:t>
      </w:r>
    </w:p>
    <w:p>
      <w:pPr>
        <w:pStyle w:val="ListBullet"/>
        <w:spacing w:after="60"/>
      </w:pPr>
      <w:r>
        <w:t>Exportar datos a Excel donde esté disponible.</w:t>
      </w:r>
    </w:p>
    <w:p>
      <w:r>
        <w:br w:type="page"/>
      </w:r>
    </w:p>
    <w:p>
      <w:pPr>
        <w:pStyle w:val="Heading1"/>
      </w:pPr>
      <w:r>
        <w:t>11. Módulo Dashboard</w:t>
      </w:r>
    </w:p>
    <w:p>
      <w:pPr>
        <w:spacing w:after="120"/>
        <w:jc w:val="left"/>
      </w:pPr>
      <w:r>
        <w:rPr>
          <w:b w:val="0"/>
          <w:i w:val="0"/>
        </w:rPr>
        <w:t>Acceso: administradores y perfiles operativos con permiso de visualización.</w:t>
      </w:r>
    </w:p>
    <w:p>
      <w:pPr>
        <w:spacing w:before="80" w:after="40"/>
        <w:jc w:val="center"/>
      </w:pPr>
      <w:r>
        <w:drawing>
          <wp:inline xmlns:a="http://schemas.openxmlformats.org/drawingml/2006/main" xmlns:pic="http://schemas.openxmlformats.org/drawingml/2006/picture">
            <wp:extent cx="4492800" cy="2808000"/>
            <wp:docPr id="13" name="Picture 13"/>
            <wp:cNvGraphicFramePr>
              <a:graphicFrameLocks noChangeAspect="1"/>
            </wp:cNvGraphicFramePr>
            <a:graphic>
              <a:graphicData uri="http://schemas.openxmlformats.org/drawingml/2006/picture">
                <pic:pic>
                  <pic:nvPicPr>
                    <pic:cNvPr id="0" name="10_modulo_dashboard.png"/>
                    <pic:cNvPicPr/>
                  </pic:nvPicPr>
                  <pic:blipFill>
                    <a:blip r:embed="rId20"/>
                    <a:stretch>
                      <a:fillRect/>
                    </a:stretch>
                  </pic:blipFill>
                  <pic:spPr>
                    <a:xfrm>
                      <a:off x="0" y="0"/>
                      <a:ext cx="4492800" cy="2808000"/>
                    </a:xfrm>
                    <a:prstGeom prst="rect"/>
                  </pic:spPr>
                </pic:pic>
              </a:graphicData>
            </a:graphic>
          </wp:inline>
        </w:drawing>
      </w:r>
    </w:p>
    <w:p>
      <w:pPr>
        <w:spacing w:after="200"/>
        <w:jc w:val="center"/>
      </w:pPr>
      <w:r>
        <w:rPr>
          <w:i/>
          <w:color w:val="6C757D"/>
          <w:sz w:val="20"/>
        </w:rPr>
        <w:t>Figura 12. Indicadores operativos del día.</w:t>
      </w:r>
    </w:p>
    <w:p>
      <w:pPr>
        <w:pStyle w:val="Heading2"/>
      </w:pPr>
      <w:r>
        <w:t>Qué puede hacer aquí</w:t>
      </w:r>
    </w:p>
    <w:p>
      <w:pPr>
        <w:pStyle w:val="ListBullet"/>
        <w:spacing w:after="60"/>
      </w:pPr>
      <w:r>
        <w:t>Consultar KPIs del día: pacientes, exámenes realizados, ingresos estimados.</w:t>
      </w:r>
    </w:p>
    <w:p>
      <w:pPr>
        <w:pStyle w:val="ListBullet"/>
        <w:spacing w:after="60"/>
      </w:pPr>
      <w:r>
        <w:t>Ver tiempo promedio de entrega (TAT) y tendencia respecto al día anterior.</w:t>
      </w:r>
    </w:p>
    <w:p>
      <w:pPr>
        <w:pStyle w:val="ListBullet"/>
        <w:spacing w:after="60"/>
      </w:pPr>
      <w:r>
        <w:t>Revisar producción por modalidad y distribución por previsión.</w:t>
      </w:r>
    </w:p>
    <w:p>
      <w:pPr>
        <w:pStyle w:val="ListBullet"/>
        <w:spacing w:after="60"/>
      </w:pPr>
      <w:r>
        <w:t>Monitorear en qué etapa del flujo clínico están las citas del día.</w:t>
      </w:r>
    </w:p>
    <w:p>
      <w:pPr>
        <w:pStyle w:val="ListBullet"/>
        <w:spacing w:after="60"/>
      </w:pPr>
      <w:r>
        <w:t>Usar el selector de laboratorio para filtrar sucursales (administradores multi-sede).</w:t>
      </w:r>
    </w:p>
    <w:p>
      <w:r>
        <w:br w:type="page"/>
      </w:r>
    </w:p>
    <w:p>
      <w:pPr>
        <w:pStyle w:val="Heading1"/>
      </w:pPr>
      <w:r>
        <w:t>12. Anexo: centros dental y veterinarios</w:t>
      </w:r>
    </w:p>
    <w:p>
      <w:pPr>
        <w:spacing w:after="120"/>
        <w:jc w:val="left"/>
      </w:pPr>
      <w:r>
        <w:rPr>
          <w:b w:val="0"/>
          <w:i w:val="0"/>
        </w:rPr>
        <w:t>Este manual describe el flujo clínico estándar (centro de diagnóstico por imágenes humano). Si su centro es dental o veterinario, el mismo HealthTiCloud RIS aplica, pero la interfaz y algunas opciones de facturación se adaptan automáticamente al tipo de laboratorio. No necesita otro manual: use los capítulos 1 a 11 y consulte aquí las diferencias.</w:t>
      </w:r>
    </w:p>
    <w:p>
      <w:pPr>
        <w:pStyle w:val="Heading2"/>
      </w:pPr>
      <w:r>
        <w:t>Configuración inicial (administrador)</w:t>
      </w:r>
    </w:p>
    <w:p>
      <w:pPr>
        <w:pStyle w:val="ListNumber"/>
        <w:spacing w:after="60"/>
      </w:pPr>
      <w:r>
        <w:t>Ingrese a Administración con un usuario administrador.</w:t>
      </w:r>
    </w:p>
    <w:p>
      <w:pPr>
        <w:pStyle w:val="ListNumber"/>
        <w:spacing w:after="60"/>
      </w:pPr>
      <w:r>
        <w:t>Al crear o editar la matriz o una sucursal, seleccione el Tipo de laboratorio correcto: Clínico Humano, Centro Dental o Veterinario.</w:t>
      </w:r>
    </w:p>
    <w:p>
      <w:pPr>
        <w:pStyle w:val="ListNumber"/>
        <w:spacing w:after="60"/>
      </w:pPr>
      <w:r>
        <w:t>Guarde los cambios. Los usuarios deben cerrar sesión y volver a entrar, o cambiar de laboratorio en la barra superior, para que el perfil se actualice.</w:t>
      </w:r>
    </w:p>
    <w:p>
      <w:pPr>
        <w:pStyle w:val="ListNumber"/>
        <w:spacing w:after="60"/>
      </w:pPr>
      <w:r>
        <w:t>Verifique en Agenda que no aparecen bonos FONASA ni previsión clínica si corresponde a dental.</w:t>
      </w:r>
    </w:p>
    <w:p>
      <w:pPr>
        <w:spacing w:after="120"/>
        <w:jc w:val="left"/>
      </w:pPr>
      <w:r>
        <w:rPr>
          <w:b w:val="0"/>
          <w:i w:val="0"/>
        </w:rPr>
        <w:t>El tipo queda guardado en el registro del laboratorio. Si el tipo no coincide con la realidad del centro (por ejemplo, un dental configurado como clínico), verá pantallas de FONASA que no debería usar; corrija el tipo en Administración.</w:t>
      </w:r>
    </w:p>
    <w:p>
      <w:pPr>
        <w:pStyle w:val="Heading2"/>
      </w:pPr>
      <w:r>
        <w:t>Resumen por tipo de centro</w:t>
      </w:r>
    </w:p>
    <w:tbl>
      <w:tblPr>
        <w:tblStyle w:val="TableGrid"/>
        <w:tblW w:type="auto" w:w="0"/>
        <w:tblLayout w:type="fixed"/>
        <w:tblLook w:firstColumn="1" w:firstRow="1" w:lastColumn="0" w:lastRow="0" w:noHBand="0" w:noVBand="1" w:val="04A0"/>
      </w:tblPr>
      <w:tblGrid>
        <w:gridCol w:w="2353"/>
        <w:gridCol w:w="2353"/>
        <w:gridCol w:w="2353"/>
        <w:gridCol w:w="2353"/>
      </w:tblGrid>
      <w:tr>
        <w:tc>
          <w:tcPr>
            <w:tcW w:type="dxa" w:w="2102"/>
            <w:shd w:fill="2EC4B6" w:val="clear"/>
            <w:tcMar>
              <w:top w:w="60" w:type="dxa"/>
              <w:bottom w:w="60" w:type="dxa"/>
              <w:start w:w="100" w:type="dxa"/>
              <w:end w:w="100" w:type="dxa"/>
            </w:tcMar>
          </w:tcPr>
          <w:p>
            <w:r/>
            <w:r>
              <w:rPr>
                <w:b/>
                <w:color w:val="FFFFFF"/>
                <w:sz w:val="20"/>
              </w:rPr>
              <w:t>Aspecto</w:t>
            </w:r>
          </w:p>
        </w:tc>
        <w:tc>
          <w:tcPr>
            <w:tcW w:type="dxa" w:w="2403"/>
            <w:shd w:fill="2EC4B6" w:val="clear"/>
            <w:tcMar>
              <w:top w:w="60" w:type="dxa"/>
              <w:bottom w:w="60" w:type="dxa"/>
              <w:start w:w="100" w:type="dxa"/>
              <w:end w:w="100" w:type="dxa"/>
            </w:tcMar>
          </w:tcPr>
          <w:p>
            <w:r/>
            <w:r>
              <w:rPr>
                <w:b/>
                <w:color w:val="FFFFFF"/>
                <w:sz w:val="20"/>
              </w:rPr>
              <w:t>Clínico humano</w:t>
            </w:r>
          </w:p>
        </w:tc>
        <w:tc>
          <w:tcPr>
            <w:tcW w:type="dxa" w:w="2403"/>
            <w:shd w:fill="2EC4B6" w:val="clear"/>
            <w:tcMar>
              <w:top w:w="60" w:type="dxa"/>
              <w:bottom w:w="60" w:type="dxa"/>
              <w:start w:w="100" w:type="dxa"/>
              <w:end w:w="100" w:type="dxa"/>
            </w:tcMar>
          </w:tcPr>
          <w:p>
            <w:r/>
            <w:r>
              <w:rPr>
                <w:b/>
                <w:color w:val="FFFFFF"/>
                <w:sz w:val="20"/>
              </w:rPr>
              <w:t>Centro dental</w:t>
            </w:r>
          </w:p>
        </w:tc>
        <w:tc>
          <w:tcPr>
            <w:tcW w:type="dxa" w:w="2503"/>
            <w:shd w:fill="2EC4B6" w:val="clear"/>
            <w:tcMar>
              <w:top w:w="60" w:type="dxa"/>
              <w:bottom w:w="60" w:type="dxa"/>
              <w:start w:w="100" w:type="dxa"/>
              <w:end w:w="100" w:type="dxa"/>
            </w:tcMar>
          </w:tcPr>
          <w:p>
            <w:r/>
            <w:r>
              <w:rPr>
                <w:b/>
                <w:color w:val="FFFFFF"/>
                <w:sz w:val="20"/>
              </w:rPr>
              <w:t>Veterinario</w:t>
            </w:r>
          </w:p>
        </w:tc>
      </w:tr>
      <w:tr>
        <w:tc>
          <w:tcPr>
            <w:tcW w:type="dxa" w:w="2102"/>
            <w:tcMar>
              <w:top w:w="60" w:type="dxa"/>
              <w:bottom w:w="60" w:type="dxa"/>
              <w:start w:w="100" w:type="dxa"/>
              <w:end w:w="100" w:type="dxa"/>
            </w:tcMar>
          </w:tcPr>
          <w:p>
            <w:r/>
            <w:r>
              <w:rPr>
                <w:sz w:val="20"/>
              </w:rPr>
              <w:t>Bonos y panel FONASA</w:t>
            </w:r>
          </w:p>
        </w:tc>
        <w:tc>
          <w:tcPr>
            <w:tcW w:type="dxa" w:w="2403"/>
            <w:tcMar>
              <w:top w:w="60" w:type="dxa"/>
              <w:bottom w:w="60" w:type="dxa"/>
              <w:start w:w="100" w:type="dxa"/>
              <w:end w:w="100" w:type="dxa"/>
            </w:tcMar>
          </w:tcPr>
          <w:p>
            <w:r/>
            <w:r>
              <w:rPr>
                <w:sz w:val="20"/>
              </w:rPr>
              <w:t>Sí</w:t>
            </w:r>
          </w:p>
        </w:tc>
        <w:tc>
          <w:tcPr>
            <w:tcW w:type="dxa" w:w="2403"/>
            <w:tcMar>
              <w:top w:w="60" w:type="dxa"/>
              <w:bottom w:w="60" w:type="dxa"/>
              <w:start w:w="100" w:type="dxa"/>
              <w:end w:w="100" w:type="dxa"/>
            </w:tcMar>
          </w:tcPr>
          <w:p>
            <w:r/>
            <w:r>
              <w:rPr>
                <w:sz w:val="20"/>
              </w:rPr>
              <w:t>No (oculto)</w:t>
            </w:r>
          </w:p>
        </w:tc>
        <w:tc>
          <w:tcPr>
            <w:tcW w:type="dxa" w:w="2503"/>
            <w:tcMar>
              <w:top w:w="60" w:type="dxa"/>
              <w:bottom w:w="60" w:type="dxa"/>
              <w:start w:w="100" w:type="dxa"/>
              <w:end w:w="100" w:type="dxa"/>
            </w:tcMar>
          </w:tcPr>
          <w:p>
            <w:r/>
            <w:r>
              <w:rPr>
                <w:sz w:val="20"/>
              </w:rPr>
              <w:t>No (oculto)</w:t>
            </w:r>
          </w:p>
        </w:tc>
      </w:tr>
      <w:tr>
        <w:tc>
          <w:tcPr>
            <w:tcW w:type="dxa" w:w="2102"/>
            <w:shd w:fill="F8FCFB" w:val="clear"/>
            <w:tcMar>
              <w:top w:w="60" w:type="dxa"/>
              <w:bottom w:w="60" w:type="dxa"/>
              <w:start w:w="100" w:type="dxa"/>
              <w:end w:w="100" w:type="dxa"/>
            </w:tcMar>
          </w:tcPr>
          <w:p>
            <w:r/>
            <w:r>
              <w:rPr>
                <w:sz w:val="20"/>
              </w:rPr>
              <w:t>Previsión en cita (FONASA/ISAPRE)</w:t>
            </w:r>
          </w:p>
        </w:tc>
        <w:tc>
          <w:tcPr>
            <w:tcW w:type="dxa" w:w="2403"/>
            <w:shd w:fill="F8FCFB" w:val="clear"/>
            <w:tcMar>
              <w:top w:w="60" w:type="dxa"/>
              <w:bottom w:w="60" w:type="dxa"/>
              <w:start w:w="100" w:type="dxa"/>
              <w:end w:w="100" w:type="dxa"/>
            </w:tcMar>
          </w:tcPr>
          <w:p>
            <w:r/>
            <w:r>
              <w:rPr>
                <w:sz w:val="20"/>
              </w:rPr>
              <w:t>Sí</w:t>
            </w:r>
          </w:p>
        </w:tc>
        <w:tc>
          <w:tcPr>
            <w:tcW w:type="dxa" w:w="2403"/>
            <w:shd w:fill="F8FCFB" w:val="clear"/>
            <w:tcMar>
              <w:top w:w="60" w:type="dxa"/>
              <w:bottom w:w="60" w:type="dxa"/>
              <w:start w:w="100" w:type="dxa"/>
              <w:end w:w="100" w:type="dxa"/>
            </w:tcMar>
          </w:tcPr>
          <w:p>
            <w:r/>
            <w:r>
              <w:rPr>
                <w:sz w:val="20"/>
              </w:rPr>
              <w:t>Oculta en agenda</w:t>
            </w:r>
          </w:p>
        </w:tc>
        <w:tc>
          <w:tcPr>
            <w:tcW w:type="dxa" w:w="2503"/>
            <w:shd w:fill="F8FCFB" w:val="clear"/>
            <w:tcMar>
              <w:top w:w="60" w:type="dxa"/>
              <w:bottom w:w="60" w:type="dxa"/>
              <w:start w:w="100" w:type="dxa"/>
              <w:end w:w="100" w:type="dxa"/>
            </w:tcMar>
          </w:tcPr>
          <w:p>
            <w:r/>
            <w:r>
              <w:rPr>
                <w:sz w:val="20"/>
              </w:rPr>
              <w:t>Solo Particular / Convenios</w:t>
            </w:r>
          </w:p>
        </w:tc>
      </w:tr>
      <w:tr>
        <w:tc>
          <w:tcPr>
            <w:tcW w:type="dxa" w:w="2102"/>
            <w:tcMar>
              <w:top w:w="60" w:type="dxa"/>
              <w:bottom w:w="60" w:type="dxa"/>
              <w:start w:w="100" w:type="dxa"/>
              <w:end w:w="100" w:type="dxa"/>
            </w:tcMar>
          </w:tcPr>
          <w:p>
            <w:r/>
            <w:r>
              <w:rPr>
                <w:sz w:val="20"/>
              </w:rPr>
              <w:t>Etiqueta del sujeto de atención</w:t>
            </w:r>
          </w:p>
        </w:tc>
        <w:tc>
          <w:tcPr>
            <w:tcW w:type="dxa" w:w="2403"/>
            <w:tcMar>
              <w:top w:w="60" w:type="dxa"/>
              <w:bottom w:w="60" w:type="dxa"/>
              <w:start w:w="100" w:type="dxa"/>
              <w:end w:w="100" w:type="dxa"/>
            </w:tcMar>
          </w:tcPr>
          <w:p>
            <w:r/>
            <w:r>
              <w:rPr>
                <w:sz w:val="20"/>
              </w:rPr>
              <w:t>Paciente</w:t>
            </w:r>
          </w:p>
        </w:tc>
        <w:tc>
          <w:tcPr>
            <w:tcW w:type="dxa" w:w="2403"/>
            <w:tcMar>
              <w:top w:w="60" w:type="dxa"/>
              <w:bottom w:w="60" w:type="dxa"/>
              <w:start w:w="100" w:type="dxa"/>
              <w:end w:w="100" w:type="dxa"/>
            </w:tcMar>
          </w:tcPr>
          <w:p>
            <w:r/>
            <w:r>
              <w:rPr>
                <w:sz w:val="20"/>
              </w:rPr>
              <w:t>Paciente</w:t>
            </w:r>
          </w:p>
        </w:tc>
        <w:tc>
          <w:tcPr>
            <w:tcW w:type="dxa" w:w="2503"/>
            <w:tcMar>
              <w:top w:w="60" w:type="dxa"/>
              <w:bottom w:w="60" w:type="dxa"/>
              <w:start w:w="100" w:type="dxa"/>
              <w:end w:w="100" w:type="dxa"/>
            </w:tcMar>
          </w:tcPr>
          <w:p>
            <w:r/>
            <w:r>
              <w:rPr>
                <w:sz w:val="20"/>
              </w:rPr>
              <w:t>Mascota</w:t>
            </w:r>
          </w:p>
        </w:tc>
      </w:tr>
      <w:tr>
        <w:tc>
          <w:tcPr>
            <w:tcW w:type="dxa" w:w="2102"/>
            <w:shd w:fill="F8FCFB" w:val="clear"/>
            <w:tcMar>
              <w:top w:w="60" w:type="dxa"/>
              <w:bottom w:w="60" w:type="dxa"/>
              <w:start w:w="100" w:type="dxa"/>
              <w:end w:w="100" w:type="dxa"/>
            </w:tcMar>
          </w:tcPr>
          <w:p>
            <w:r/>
            <w:r>
              <w:rPr>
                <w:sz w:val="20"/>
              </w:rPr>
              <w:t>Identificación</w:t>
            </w:r>
          </w:p>
        </w:tc>
        <w:tc>
          <w:tcPr>
            <w:tcW w:type="dxa" w:w="2403"/>
            <w:shd w:fill="F8FCFB" w:val="clear"/>
            <w:tcMar>
              <w:top w:w="60" w:type="dxa"/>
              <w:bottom w:w="60" w:type="dxa"/>
              <w:start w:w="100" w:type="dxa"/>
              <w:end w:w="100" w:type="dxa"/>
            </w:tcMar>
          </w:tcPr>
          <w:p>
            <w:r/>
            <w:r>
              <w:rPr>
                <w:sz w:val="20"/>
              </w:rPr>
              <w:t>RUT / Documento</w:t>
            </w:r>
          </w:p>
        </w:tc>
        <w:tc>
          <w:tcPr>
            <w:tcW w:type="dxa" w:w="2403"/>
            <w:shd w:fill="F8FCFB" w:val="clear"/>
            <w:tcMar>
              <w:top w:w="60" w:type="dxa"/>
              <w:bottom w:w="60" w:type="dxa"/>
              <w:start w:w="100" w:type="dxa"/>
              <w:end w:w="100" w:type="dxa"/>
            </w:tcMar>
          </w:tcPr>
          <w:p>
            <w:r/>
            <w:r>
              <w:rPr>
                <w:sz w:val="20"/>
              </w:rPr>
              <w:t>RUT / Documento</w:t>
            </w:r>
          </w:p>
        </w:tc>
        <w:tc>
          <w:tcPr>
            <w:tcW w:type="dxa" w:w="2503"/>
            <w:shd w:fill="F8FCFB" w:val="clear"/>
            <w:tcMar>
              <w:top w:w="60" w:type="dxa"/>
              <w:bottom w:w="60" w:type="dxa"/>
              <w:start w:w="100" w:type="dxa"/>
              <w:end w:w="100" w:type="dxa"/>
            </w:tcMar>
          </w:tcPr>
          <w:p>
            <w:r/>
            <w:r>
              <w:rPr>
                <w:sz w:val="20"/>
              </w:rPr>
              <w:t>ID mascota / microchip</w:t>
            </w:r>
          </w:p>
        </w:tc>
      </w:tr>
      <w:tr>
        <w:tc>
          <w:tcPr>
            <w:tcW w:type="dxa" w:w="2102"/>
            <w:tcMar>
              <w:top w:w="60" w:type="dxa"/>
              <w:bottom w:w="60" w:type="dxa"/>
              <w:start w:w="100" w:type="dxa"/>
              <w:end w:w="100" w:type="dxa"/>
            </w:tcMar>
          </w:tcPr>
          <w:p>
            <w:r/>
            <w:r>
              <w:rPr>
                <w:sz w:val="20"/>
              </w:rPr>
              <w:t>Código de prestación en exámenes</w:t>
            </w:r>
          </w:p>
        </w:tc>
        <w:tc>
          <w:tcPr>
            <w:tcW w:type="dxa" w:w="2403"/>
            <w:tcMar>
              <w:top w:w="60" w:type="dxa"/>
              <w:bottom w:w="60" w:type="dxa"/>
              <w:start w:w="100" w:type="dxa"/>
              <w:end w:w="100" w:type="dxa"/>
            </w:tcMar>
          </w:tcPr>
          <w:p>
            <w:r/>
            <w:r>
              <w:rPr>
                <w:sz w:val="20"/>
              </w:rPr>
              <w:t>Cód. FONASA</w:t>
            </w:r>
          </w:p>
        </w:tc>
        <w:tc>
          <w:tcPr>
            <w:tcW w:type="dxa" w:w="2403"/>
            <w:tcMar>
              <w:top w:w="60" w:type="dxa"/>
              <w:bottom w:w="60" w:type="dxa"/>
              <w:start w:w="100" w:type="dxa"/>
              <w:end w:w="100" w:type="dxa"/>
            </w:tcMar>
          </w:tcPr>
          <w:p>
            <w:r/>
            <w:r>
              <w:rPr>
                <w:sz w:val="20"/>
              </w:rPr>
              <w:t>Cód. prestación</w:t>
            </w:r>
          </w:p>
        </w:tc>
        <w:tc>
          <w:tcPr>
            <w:tcW w:type="dxa" w:w="2503"/>
            <w:tcMar>
              <w:top w:w="60" w:type="dxa"/>
              <w:bottom w:w="60" w:type="dxa"/>
              <w:start w:w="100" w:type="dxa"/>
              <w:end w:w="100" w:type="dxa"/>
            </w:tcMar>
          </w:tcPr>
          <w:p>
            <w:r/>
            <w:r>
              <w:rPr>
                <w:sz w:val="20"/>
              </w:rPr>
              <w:t>Cód. prestación</w:t>
            </w:r>
          </w:p>
        </w:tc>
      </w:tr>
      <w:tr>
        <w:tc>
          <w:tcPr>
            <w:tcW w:type="dxa" w:w="2102"/>
            <w:shd w:fill="F8FCFB" w:val="clear"/>
            <w:tcMar>
              <w:top w:w="60" w:type="dxa"/>
              <w:bottom w:w="60" w:type="dxa"/>
              <w:start w:w="100" w:type="dxa"/>
              <w:end w:w="100" w:type="dxa"/>
            </w:tcMar>
          </w:tcPr>
          <w:p>
            <w:r/>
            <w:r>
              <w:rPr>
                <w:sz w:val="20"/>
              </w:rPr>
              <w:t>Módulo de tecnología</w:t>
            </w:r>
          </w:p>
        </w:tc>
        <w:tc>
          <w:tcPr>
            <w:tcW w:type="dxa" w:w="2403"/>
            <w:shd w:fill="F8FCFB" w:val="clear"/>
            <w:tcMar>
              <w:top w:w="60" w:type="dxa"/>
              <w:bottom w:w="60" w:type="dxa"/>
              <w:start w:w="100" w:type="dxa"/>
              <w:end w:w="100" w:type="dxa"/>
            </w:tcMar>
          </w:tcPr>
          <w:p>
            <w:r/>
            <w:r>
              <w:rPr>
                <w:sz w:val="20"/>
              </w:rPr>
              <w:t>Worklist (MWL)</w:t>
            </w:r>
          </w:p>
        </w:tc>
        <w:tc>
          <w:tcPr>
            <w:tcW w:type="dxa" w:w="2403"/>
            <w:shd w:fill="F8FCFB" w:val="clear"/>
            <w:tcMar>
              <w:top w:w="60" w:type="dxa"/>
              <w:bottom w:w="60" w:type="dxa"/>
              <w:start w:w="100" w:type="dxa"/>
              <w:end w:w="100" w:type="dxa"/>
            </w:tcMar>
          </w:tcPr>
          <w:p>
            <w:r/>
            <w:r>
              <w:rPr>
                <w:sz w:val="20"/>
              </w:rPr>
              <w:t>Atención en salas</w:t>
            </w:r>
          </w:p>
        </w:tc>
        <w:tc>
          <w:tcPr>
            <w:tcW w:type="dxa" w:w="2503"/>
            <w:shd w:fill="F8FCFB" w:val="clear"/>
            <w:tcMar>
              <w:top w:w="60" w:type="dxa"/>
              <w:bottom w:w="60" w:type="dxa"/>
              <w:start w:w="100" w:type="dxa"/>
              <w:end w:w="100" w:type="dxa"/>
            </w:tcMar>
          </w:tcPr>
          <w:p>
            <w:r/>
            <w:r>
              <w:rPr>
                <w:sz w:val="20"/>
              </w:rPr>
              <w:t>Atención en salas</w:t>
            </w:r>
          </w:p>
        </w:tc>
      </w:tr>
      <w:tr>
        <w:tc>
          <w:tcPr>
            <w:tcW w:type="dxa" w:w="2102"/>
            <w:tcMar>
              <w:top w:w="60" w:type="dxa"/>
              <w:bottom w:w="60" w:type="dxa"/>
              <w:start w:w="100" w:type="dxa"/>
              <w:end w:w="100" w:type="dxa"/>
            </w:tcMar>
          </w:tcPr>
          <w:p>
            <w:r/>
            <w:r>
              <w:rPr>
                <w:sz w:val="20"/>
              </w:rPr>
              <w:t>Subida de imágenes</w:t>
            </w:r>
          </w:p>
        </w:tc>
        <w:tc>
          <w:tcPr>
            <w:tcW w:type="dxa" w:w="2403"/>
            <w:tcMar>
              <w:top w:w="60" w:type="dxa"/>
              <w:bottom w:w="60" w:type="dxa"/>
              <w:start w:w="100" w:type="dxa"/>
              <w:end w:w="100" w:type="dxa"/>
            </w:tcMar>
          </w:tcPr>
          <w:p>
            <w:r/>
            <w:r>
              <w:rPr>
                <w:sz w:val="20"/>
              </w:rPr>
              <w:t>Equipo + worklist</w:t>
            </w:r>
          </w:p>
        </w:tc>
        <w:tc>
          <w:tcPr>
            <w:tcW w:type="dxa" w:w="2403"/>
            <w:tcMar>
              <w:top w:w="60" w:type="dxa"/>
              <w:bottom w:w="60" w:type="dxa"/>
              <w:start w:w="100" w:type="dxa"/>
              <w:end w:w="100" w:type="dxa"/>
            </w:tcMar>
          </w:tcPr>
          <w:p>
            <w:r/>
            <w:r>
              <w:rPr>
                <w:sz w:val="20"/>
              </w:rPr>
              <w:t>Archivo .dcm/.zip manual</w:t>
            </w:r>
          </w:p>
        </w:tc>
        <w:tc>
          <w:tcPr>
            <w:tcW w:type="dxa" w:w="2503"/>
            <w:tcMar>
              <w:top w:w="60" w:type="dxa"/>
              <w:bottom w:w="60" w:type="dxa"/>
              <w:start w:w="100" w:type="dxa"/>
              <w:end w:w="100" w:type="dxa"/>
            </w:tcMar>
          </w:tcPr>
          <w:p>
            <w:r/>
            <w:r>
              <w:rPr>
                <w:sz w:val="20"/>
              </w:rPr>
              <w:t>Archivo .dcm/.zip manual</w:t>
            </w:r>
          </w:p>
        </w:tc>
      </w:tr>
      <w:tr>
        <w:tc>
          <w:tcPr>
            <w:tcW w:type="dxa" w:w="2102"/>
            <w:shd w:fill="F8FCFB" w:val="clear"/>
            <w:tcMar>
              <w:top w:w="60" w:type="dxa"/>
              <w:bottom w:w="60" w:type="dxa"/>
              <w:start w:w="100" w:type="dxa"/>
              <w:end w:w="100" w:type="dxa"/>
            </w:tcMar>
          </w:tcPr>
          <w:p>
            <w:r/>
            <w:r>
              <w:rPr>
                <w:sz w:val="20"/>
              </w:rPr>
              <w:t>Flujo → Informe → Entrega</w:t>
            </w:r>
          </w:p>
        </w:tc>
        <w:tc>
          <w:tcPr>
            <w:tcW w:type="dxa" w:w="2403"/>
            <w:shd w:fill="F8FCFB" w:val="clear"/>
            <w:tcMar>
              <w:top w:w="60" w:type="dxa"/>
              <w:bottom w:w="60" w:type="dxa"/>
              <w:start w:w="100" w:type="dxa"/>
              <w:end w:w="100" w:type="dxa"/>
            </w:tcMar>
          </w:tcPr>
          <w:p>
            <w:r/>
            <w:r>
              <w:rPr>
                <w:sz w:val="20"/>
              </w:rPr>
              <w:t>Igual</w:t>
            </w:r>
          </w:p>
        </w:tc>
        <w:tc>
          <w:tcPr>
            <w:tcW w:type="dxa" w:w="2403"/>
            <w:shd w:fill="F8FCFB" w:val="clear"/>
            <w:tcMar>
              <w:top w:w="60" w:type="dxa"/>
              <w:bottom w:w="60" w:type="dxa"/>
              <w:start w:w="100" w:type="dxa"/>
              <w:end w:w="100" w:type="dxa"/>
            </w:tcMar>
          </w:tcPr>
          <w:p>
            <w:r/>
            <w:r>
              <w:rPr>
                <w:sz w:val="20"/>
              </w:rPr>
              <w:t>Igual</w:t>
            </w:r>
          </w:p>
        </w:tc>
        <w:tc>
          <w:tcPr>
            <w:tcW w:type="dxa" w:w="2503"/>
            <w:shd w:fill="F8FCFB" w:val="clear"/>
            <w:tcMar>
              <w:top w:w="60" w:type="dxa"/>
              <w:bottom w:w="60" w:type="dxa"/>
              <w:start w:w="100" w:type="dxa"/>
              <w:end w:w="100" w:type="dxa"/>
            </w:tcMar>
          </w:tcPr>
          <w:p>
            <w:r/>
            <w:r>
              <w:rPr>
                <w:sz w:val="20"/>
              </w:rPr>
              <w:t>Igual</w:t>
            </w:r>
          </w:p>
        </w:tc>
      </w:tr>
    </w:tbl>
    <w:p>
      <w:pPr>
        <w:spacing w:after="160"/>
      </w:pPr>
    </w:p>
    <w:p>
      <w:pPr>
        <w:pStyle w:val="Heading2"/>
      </w:pPr>
      <w:r>
        <w:t>Recepción y Agenda</w:t>
      </w:r>
    </w:p>
    <w:p>
      <w:pPr>
        <w:pStyle w:val="ListBullet"/>
        <w:spacing w:after="60"/>
      </w:pPr>
      <w:r>
        <w:t>El calendario, wizard de cita, pagos y estados funcionan igual que en un centro clínico.</w:t>
      </w:r>
    </w:p>
    <w:p>
      <w:pPr>
        <w:pStyle w:val="ListBullet"/>
        <w:spacing w:after="60"/>
      </w:pPr>
      <w:r>
        <w:t>En dental y veterinario no se ofrecen tipos de bono Manual ni Electrónico; el cobro es particular, convenio u otro método configurado en su centro.</w:t>
      </w:r>
    </w:p>
    <w:p>
      <w:pPr>
        <w:pStyle w:val="ListBullet"/>
        <w:spacing w:after="60"/>
      </w:pPr>
      <w:r>
        <w:t>Si intenta registrar un bono FONASA por integración externa, el sistema responderá que no aplica a ese tipo de laboratorio.</w:t>
      </w:r>
    </w:p>
    <w:p>
      <w:pPr>
        <w:pStyle w:val="ListBullet"/>
        <w:spacing w:after="60"/>
      </w:pPr>
      <w:r>
        <w:t>En dental no verá los campos de previsión ni plan en el paso Paciente de la cita.</w:t>
      </w:r>
    </w:p>
    <w:p>
      <w:pPr>
        <w:pStyle w:val="ListBullet"/>
        <w:spacing w:after="60"/>
      </w:pPr>
      <w:r>
        <w:t>En veterinario sí puede elegir previsión, pero solo las opciones Particular o Convenios (no listas FONASA/ISAPRE chilenas).</w:t>
      </w:r>
    </w:p>
    <w:p>
      <w:pPr>
        <w:pStyle w:val="ListBullet"/>
        <w:spacing w:after="60"/>
      </w:pPr>
      <w:r>
        <w:t>Las etiquetas en pantalla cambian en veterinario (por ejemplo «Mascota» en lugar de «Paciente»).</w:t>
      </w:r>
    </w:p>
    <w:p>
      <w:pPr>
        <w:pStyle w:val="Heading2"/>
      </w:pPr>
      <w:r>
        <w:t>Centro dental: puntos clave</w:t>
      </w:r>
    </w:p>
    <w:p>
      <w:pPr>
        <w:pStyle w:val="ListBullet"/>
        <w:spacing w:after="60"/>
      </w:pPr>
      <w:r>
        <w:t>Ideal para radiología intraoral, panorámicas, CBCT u otros estudios odontológicos.</w:t>
      </w:r>
    </w:p>
    <w:p>
      <w:pPr>
        <w:pStyle w:val="ListBullet"/>
        <w:spacing w:after="60"/>
      </w:pPr>
      <w:r>
        <w:t>Flujo: Agenda (confirmar) → Atención en salas (subir DICOM) → Radiólogo → Entrega.</w:t>
      </w:r>
    </w:p>
    <w:p>
      <w:pPr>
        <w:pStyle w:val="ListBullet"/>
        <w:spacing w:after="60"/>
      </w:pPr>
      <w:r>
        <w:t>No aparece el menú Worklist; solo Atención en salas.</w:t>
      </w:r>
    </w:p>
    <w:p>
      <w:pPr>
        <w:pStyle w:val="ListBullet"/>
        <w:spacing w:after="60"/>
      </w:pPr>
      <w:r>
        <w:t>Catálogo de exámenes e insumos se administra igual; use códigos de prestación internos.</w:t>
      </w:r>
    </w:p>
    <w:p>
      <w:pPr>
        <w:pStyle w:val="ListBullet"/>
        <w:spacing w:after="60"/>
      </w:pPr>
      <w:r>
        <w:t>Médico derivante y sala/equipo (CBCT, sensor) se configuran en Administración.</w:t>
      </w:r>
    </w:p>
    <w:p>
      <w:pPr>
        <w:pStyle w:val="ListBullet"/>
        <w:spacing w:after="60"/>
      </w:pPr>
      <w:r>
        <w:t>Correos de preparación al paciente (capítulo 4) siguen disponibles si tiene SMTP configurado.</w:t>
      </w:r>
    </w:p>
    <w:p>
      <w:pPr>
        <w:pStyle w:val="Heading2"/>
      </w:pPr>
      <w:r>
        <w:t>Centro veterinario: puntos clave</w:t>
      </w:r>
    </w:p>
    <w:p>
      <w:pPr>
        <w:pStyle w:val="ListBullet"/>
        <w:spacing w:after="60"/>
      </w:pPr>
      <w:r>
        <w:t>El dueño o responsable se registra en los datos de contacto del paciente (mascota).</w:t>
      </w:r>
    </w:p>
    <w:p>
      <w:pPr>
        <w:pStyle w:val="ListBullet"/>
        <w:spacing w:after="60"/>
      </w:pPr>
      <w:r>
        <w:t>Use el identificador de la mascota (microchip, ficha interna) en el campo de documento.</w:t>
      </w:r>
    </w:p>
    <w:p>
      <w:pPr>
        <w:pStyle w:val="ListBullet"/>
        <w:spacing w:after="60"/>
      </w:pPr>
      <w:r>
        <w:t>Previsión limitada a Particular o Convenios; copago clínico no se calcula automáticamente.</w:t>
      </w:r>
    </w:p>
    <w:p>
      <w:pPr>
        <w:pStyle w:val="ListBullet"/>
        <w:spacing w:after="60"/>
      </w:pPr>
      <w:r>
        <w:t>Atención en salas, radiólogo, transcripción, validación y entrega operan igual que en clínico.</w:t>
      </w:r>
    </w:p>
    <w:p>
      <w:pPr>
        <w:pStyle w:val="ListBullet"/>
        <w:spacing w:after="60"/>
      </w:pPr>
      <w:r>
        <w:t>Subida manual de imágenes cuando el equipo no usa worklist DICOM.</w:t>
      </w:r>
    </w:p>
    <w:p>
      <w:pPr>
        <w:pStyle w:val="Heading2"/>
      </w:pPr>
      <w:r>
        <w:t>Laboratorios de demostración (desarrollo)</w:t>
      </w:r>
    </w:p>
    <w:tbl>
      <w:tblPr>
        <w:tblStyle w:val="TableGrid"/>
        <w:tblW w:type="auto" w:w="0"/>
        <w:tblLayout w:type="fixed"/>
        <w:tblLook w:firstColumn="1" w:firstRow="1" w:lastColumn="0" w:lastRow="0" w:noHBand="0" w:noVBand="1" w:val="04A0"/>
      </w:tblPr>
      <w:tblGrid>
        <w:gridCol w:w="3137"/>
        <w:gridCol w:w="3137"/>
        <w:gridCol w:w="3137"/>
      </w:tblGrid>
      <w:tr>
        <w:tc>
          <w:tcPr>
            <w:tcW w:type="dxa" w:w="2873"/>
            <w:shd w:fill="2EC4B6" w:val="clear"/>
            <w:tcMar>
              <w:top w:w="60" w:type="dxa"/>
              <w:bottom w:w="60" w:type="dxa"/>
              <w:start w:w="100" w:type="dxa"/>
              <w:end w:w="100" w:type="dxa"/>
            </w:tcMar>
          </w:tcPr>
          <w:p>
            <w:r/>
            <w:r>
              <w:rPr>
                <w:b/>
                <w:color w:val="FFFFFF"/>
                <w:sz w:val="20"/>
              </w:rPr>
              <w:t>Nombre en selector</w:t>
            </w:r>
          </w:p>
        </w:tc>
        <w:tc>
          <w:tcPr>
            <w:tcW w:type="dxa" w:w="1882"/>
            <w:shd w:fill="2EC4B6" w:val="clear"/>
            <w:tcMar>
              <w:top w:w="60" w:type="dxa"/>
              <w:bottom w:w="60" w:type="dxa"/>
              <w:start w:w="100" w:type="dxa"/>
              <w:end w:w="100" w:type="dxa"/>
            </w:tcMar>
          </w:tcPr>
          <w:p>
            <w:r/>
            <w:r>
              <w:rPr>
                <w:b/>
                <w:color w:val="FFFFFF"/>
                <w:sz w:val="20"/>
              </w:rPr>
              <w:t>Tipo</w:t>
            </w:r>
          </w:p>
        </w:tc>
        <w:tc>
          <w:tcPr>
            <w:tcW w:type="dxa" w:w="4656"/>
            <w:shd w:fill="2EC4B6" w:val="clear"/>
            <w:tcMar>
              <w:top w:w="60" w:type="dxa"/>
              <w:bottom w:w="60" w:type="dxa"/>
              <w:start w:w="100" w:type="dxa"/>
              <w:end w:w="100" w:type="dxa"/>
            </w:tcMar>
          </w:tcPr>
          <w:p>
            <w:r/>
            <w:r>
              <w:rPr>
                <w:b/>
                <w:color w:val="FFFFFF"/>
                <w:sz w:val="20"/>
              </w:rPr>
              <w:t>Uso</w:t>
            </w:r>
          </w:p>
        </w:tc>
      </w:tr>
      <w:tr>
        <w:tc>
          <w:tcPr>
            <w:tcW w:type="dxa" w:w="2873"/>
            <w:tcMar>
              <w:top w:w="60" w:type="dxa"/>
              <w:bottom w:w="60" w:type="dxa"/>
              <w:start w:w="100" w:type="dxa"/>
              <w:end w:w="100" w:type="dxa"/>
            </w:tcMar>
          </w:tcPr>
          <w:p>
            <w:r/>
            <w:r>
              <w:rPr>
                <w:sz w:val="20"/>
              </w:rPr>
              <w:t>Dental Demo — CBCT Temuco</w:t>
            </w:r>
          </w:p>
        </w:tc>
        <w:tc>
          <w:tcPr>
            <w:tcW w:type="dxa" w:w="1882"/>
            <w:tcMar>
              <w:top w:w="60" w:type="dxa"/>
              <w:bottom w:w="60" w:type="dxa"/>
              <w:start w:w="100" w:type="dxa"/>
              <w:end w:w="100" w:type="dxa"/>
            </w:tcMar>
          </w:tcPr>
          <w:p>
            <w:r/>
            <w:r>
              <w:rPr>
                <w:sz w:val="20"/>
              </w:rPr>
              <w:t>Centro Dental</w:t>
            </w:r>
          </w:p>
        </w:tc>
        <w:tc>
          <w:tcPr>
            <w:tcW w:type="dxa" w:w="4656"/>
            <w:tcMar>
              <w:top w:w="60" w:type="dxa"/>
              <w:bottom w:w="60" w:type="dxa"/>
              <w:start w:w="100" w:type="dxa"/>
              <w:end w:w="100" w:type="dxa"/>
            </w:tcMar>
          </w:tcPr>
          <w:p>
            <w:r/>
            <w:r>
              <w:rPr>
                <w:sz w:val="20"/>
              </w:rPr>
              <w:t>Matriz dental de prueba</w:t>
            </w:r>
          </w:p>
        </w:tc>
      </w:tr>
      <w:tr>
        <w:tc>
          <w:tcPr>
            <w:tcW w:type="dxa" w:w="2873"/>
            <w:shd w:fill="F8FCFB" w:val="clear"/>
            <w:tcMar>
              <w:top w:w="60" w:type="dxa"/>
              <w:bottom w:w="60" w:type="dxa"/>
              <w:start w:w="100" w:type="dxa"/>
              <w:end w:w="100" w:type="dxa"/>
            </w:tcMar>
          </w:tcPr>
          <w:p>
            <w:r/>
            <w:r>
              <w:rPr>
                <w:sz w:val="20"/>
              </w:rPr>
              <w:t>Dental Demo — Sucursal Centro</w:t>
            </w:r>
          </w:p>
        </w:tc>
        <w:tc>
          <w:tcPr>
            <w:tcW w:type="dxa" w:w="1882"/>
            <w:shd w:fill="F8FCFB" w:val="clear"/>
            <w:tcMar>
              <w:top w:w="60" w:type="dxa"/>
              <w:bottom w:w="60" w:type="dxa"/>
              <w:start w:w="100" w:type="dxa"/>
              <w:end w:w="100" w:type="dxa"/>
            </w:tcMar>
          </w:tcPr>
          <w:p>
            <w:r/>
            <w:r>
              <w:rPr>
                <w:sz w:val="20"/>
              </w:rPr>
              <w:t>Centro Dental</w:t>
            </w:r>
          </w:p>
        </w:tc>
        <w:tc>
          <w:tcPr>
            <w:tcW w:type="dxa" w:w="4656"/>
            <w:shd w:fill="F8FCFB" w:val="clear"/>
            <w:tcMar>
              <w:top w:w="60" w:type="dxa"/>
              <w:bottom w:w="60" w:type="dxa"/>
              <w:start w:w="100" w:type="dxa"/>
              <w:end w:w="100" w:type="dxa"/>
            </w:tcMar>
          </w:tcPr>
          <w:p>
            <w:r/>
            <w:r>
              <w:rPr>
                <w:sz w:val="20"/>
              </w:rPr>
              <w:t>Sucursal hija dental</w:t>
            </w:r>
          </w:p>
        </w:tc>
      </w:tr>
      <w:tr>
        <w:tc>
          <w:tcPr>
            <w:tcW w:type="dxa" w:w="2873"/>
            <w:tcMar>
              <w:top w:w="60" w:type="dxa"/>
              <w:bottom w:w="60" w:type="dxa"/>
              <w:start w:w="100" w:type="dxa"/>
              <w:end w:w="100" w:type="dxa"/>
            </w:tcMar>
          </w:tcPr>
          <w:p>
            <w:r/>
            <w:r>
              <w:rPr>
                <w:sz w:val="20"/>
              </w:rPr>
              <w:t>Veterinaria Demo Sur</w:t>
            </w:r>
          </w:p>
        </w:tc>
        <w:tc>
          <w:tcPr>
            <w:tcW w:type="dxa" w:w="1882"/>
            <w:tcMar>
              <w:top w:w="60" w:type="dxa"/>
              <w:bottom w:w="60" w:type="dxa"/>
              <w:start w:w="100" w:type="dxa"/>
              <w:end w:w="100" w:type="dxa"/>
            </w:tcMar>
          </w:tcPr>
          <w:p>
            <w:r/>
            <w:r>
              <w:rPr>
                <w:sz w:val="20"/>
              </w:rPr>
              <w:t>Veterinario</w:t>
            </w:r>
          </w:p>
        </w:tc>
        <w:tc>
          <w:tcPr>
            <w:tcW w:type="dxa" w:w="4656"/>
            <w:tcMar>
              <w:top w:w="60" w:type="dxa"/>
              <w:bottom w:w="60" w:type="dxa"/>
              <w:start w:w="100" w:type="dxa"/>
              <w:end w:w="100" w:type="dxa"/>
            </w:tcMar>
          </w:tcPr>
          <w:p>
            <w:r/>
            <w:r>
              <w:rPr>
                <w:sz w:val="20"/>
              </w:rPr>
              <w:t>Matriz veterinaria de prueba</w:t>
            </w:r>
          </w:p>
        </w:tc>
      </w:tr>
      <w:tr>
        <w:tc>
          <w:tcPr>
            <w:tcW w:type="dxa" w:w="2873"/>
            <w:shd w:fill="F8FCFB" w:val="clear"/>
            <w:tcMar>
              <w:top w:w="60" w:type="dxa"/>
              <w:bottom w:w="60" w:type="dxa"/>
              <w:start w:w="100" w:type="dxa"/>
              <w:end w:w="100" w:type="dxa"/>
            </w:tcMar>
          </w:tcPr>
          <w:p>
            <w:r/>
            <w:r>
              <w:rPr>
                <w:sz w:val="20"/>
              </w:rPr>
              <w:t>Veterinaria Demo — Urgencias 24h</w:t>
            </w:r>
          </w:p>
        </w:tc>
        <w:tc>
          <w:tcPr>
            <w:tcW w:type="dxa" w:w="1882"/>
            <w:shd w:fill="F8FCFB" w:val="clear"/>
            <w:tcMar>
              <w:top w:w="60" w:type="dxa"/>
              <w:bottom w:w="60" w:type="dxa"/>
              <w:start w:w="100" w:type="dxa"/>
              <w:end w:w="100" w:type="dxa"/>
            </w:tcMar>
          </w:tcPr>
          <w:p>
            <w:r/>
            <w:r>
              <w:rPr>
                <w:sz w:val="20"/>
              </w:rPr>
              <w:t>Veterinario</w:t>
            </w:r>
          </w:p>
        </w:tc>
        <w:tc>
          <w:tcPr>
            <w:tcW w:type="dxa" w:w="4656"/>
            <w:shd w:fill="F8FCFB" w:val="clear"/>
            <w:tcMar>
              <w:top w:w="60" w:type="dxa"/>
              <w:bottom w:w="60" w:type="dxa"/>
              <w:start w:w="100" w:type="dxa"/>
              <w:end w:w="100" w:type="dxa"/>
            </w:tcMar>
          </w:tcPr>
          <w:p>
            <w:r/>
            <w:r>
              <w:rPr>
                <w:sz w:val="20"/>
              </w:rPr>
              <w:t>Sucursal veterinaria</w:t>
            </w:r>
          </w:p>
        </w:tc>
      </w:tr>
      <w:tr>
        <w:tc>
          <w:tcPr>
            <w:tcW w:type="dxa" w:w="2873"/>
            <w:tcMar>
              <w:top w:w="60" w:type="dxa"/>
              <w:bottom w:w="60" w:type="dxa"/>
              <w:start w:w="100" w:type="dxa"/>
              <w:end w:w="100" w:type="dxa"/>
            </w:tcMar>
          </w:tcPr>
          <w:p>
            <w:r/>
            <w:r>
              <w:rPr>
                <w:sz w:val="20"/>
              </w:rPr>
              <w:t>Centro de Diagnóstico RIS PRO</w:t>
            </w:r>
          </w:p>
        </w:tc>
        <w:tc>
          <w:tcPr>
            <w:tcW w:type="dxa" w:w="1882"/>
            <w:tcMar>
              <w:top w:w="60" w:type="dxa"/>
              <w:bottom w:w="60" w:type="dxa"/>
              <w:start w:w="100" w:type="dxa"/>
              <w:end w:w="100" w:type="dxa"/>
            </w:tcMar>
          </w:tcPr>
          <w:p>
            <w:r/>
            <w:r>
              <w:rPr>
                <w:sz w:val="20"/>
              </w:rPr>
              <w:t>Clínico</w:t>
            </w:r>
          </w:p>
        </w:tc>
        <w:tc>
          <w:tcPr>
            <w:tcW w:type="dxa" w:w="4656"/>
            <w:tcMar>
              <w:top w:w="60" w:type="dxa"/>
              <w:bottom w:w="60" w:type="dxa"/>
              <w:start w:w="100" w:type="dxa"/>
              <w:end w:w="100" w:type="dxa"/>
            </w:tcMar>
          </w:tcPr>
          <w:p>
            <w:r/>
            <w:r>
              <w:rPr>
                <w:sz w:val="20"/>
              </w:rPr>
              <w:t>Flujo worklist clásico</w:t>
            </w:r>
          </w:p>
        </w:tc>
      </w:tr>
    </w:tbl>
    <w:p>
      <w:pPr>
        <w:spacing w:after="160"/>
      </w:pPr>
    </w:p>
    <w:p>
      <w:pPr>
        <w:spacing w:after="120"/>
        <w:jc w:val="left"/>
      </w:pPr>
      <w:r>
        <w:rPr>
          <w:b w:val="0"/>
          <w:i w:val="0"/>
        </w:rPr>
        <w:t>Se crean al ejecutar php artisan db:seed. Para forzar modo manual en un centro clínico, el administrador puede guardar en settings del laboratorio: {"uses_dicom_worklist": false}.</w:t>
      </w:r>
    </w:p>
    <w:p>
      <w:pPr>
        <w:pStyle w:val="Heading2"/>
      </w:pPr>
      <w:r>
        <w:t>Qué no cambia</w:t>
      </w:r>
    </w:p>
    <w:p>
      <w:pPr>
        <w:pStyle w:val="ListBullet"/>
        <w:spacing w:after="60"/>
      </w:pPr>
      <w:r>
        <w:t>Usuarios, roles, salas, modalidades DICOM, Orthanc/PACS y visor OHIF (si está desplegado).</w:t>
      </w:r>
    </w:p>
    <w:p>
      <w:pPr>
        <w:pStyle w:val="ListBullet"/>
        <w:spacing w:after="60"/>
      </w:pPr>
      <w:r>
        <w:t>Dashboard, reportes de producción, sync nube, HL7 y documentos tributarios (DTE), si su plan los incluye.</w:t>
      </w:r>
    </w:p>
    <w:p>
      <w:pPr>
        <w:pStyle w:val="ListBullet"/>
        <w:spacing w:after="60"/>
      </w:pPr>
      <w:r>
        <w:t>Portal del paciente y visor web suelen ser servicios aparte (subdominios del proveedor).</w:t>
      </w:r>
    </w:p>
    <w:p>
      <w:pPr>
        <w:spacing w:after="120"/>
        <w:jc w:val="left"/>
      </w:pPr>
      <w:r>
        <w:rPr>
          <w:b w:val="0"/>
          <w:i w:val="0"/>
        </w:rPr>
        <w:t>Documentación técnica de instalación: docs/INSTALACION.md</w:t>
      </w:r>
    </w:p>
    <w:p>
      <w:r>
        <w:br w:type="page"/>
      </w:r>
    </w:p>
    <w:p>
      <w:pPr>
        <w:pStyle w:val="Heading1"/>
      </w:pPr>
      <w:r>
        <w:t>13. Anexo técnico</w:t>
      </w:r>
    </w:p>
    <w:p>
      <w:pPr>
        <w:spacing w:after="120"/>
        <w:jc w:val="left"/>
      </w:pPr>
      <w:r>
        <w:rPr>
          <w:b w:val="0"/>
          <w:i w:val="0"/>
        </w:rPr>
        <w:t>Información para soporte TI o regeneración de este manual.</w:t>
      </w:r>
    </w:p>
    <w:p>
      <w:pPr>
        <w:pStyle w:val="ListBullet"/>
        <w:spacing w:after="60"/>
      </w:pPr>
      <w:r>
        <w:t>Regenerar PDF: python docs/generate_instructivo.py</w:t>
      </w:r>
    </w:p>
    <w:p>
      <w:pPr>
        <w:pStyle w:val="ListBullet"/>
        <w:spacing w:after="60"/>
      </w:pPr>
      <w:r>
        <w:t>Regenerar DOCX: python docs/generate_instructivo_docx.py</w:t>
      </w:r>
    </w:p>
    <w:p>
      <w:pPr>
        <w:pStyle w:val="ListBullet"/>
        <w:spacing w:after="60"/>
      </w:pPr>
      <w:r>
        <w:t>Regenerar capturas: node docs/capture_screenshots.mjs (frontend en puerto 8765, API en 8000).</w:t>
      </w:r>
    </w:p>
    <w:p>
      <w:pPr>
        <w:pStyle w:val="ListBullet"/>
        <w:spacing w:after="60"/>
      </w:pPr>
      <w:r>
        <w:t>Correo en desarrollo: MAIL_MAILER=log escribe en storage/logs/laravel.log.</w:t>
      </w:r>
    </w:p>
    <w:p>
      <w:pPr>
        <w:pStyle w:val="ListBullet"/>
        <w:spacing w:after="60"/>
      </w:pPr>
      <w:r>
        <w:t>Perfil de laboratorio API: GET /api/lab-profile (header X-Lab-Id).</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2EC4B6"/>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12529"/>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1252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