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0d415dd7d362aa5187472663a8f4df90589bc364.svg" ContentType="image/svg+xml"/>
  <Override PartName="/word/media/2a37c7cb08ad8c18edc3fb64ec20fa500b57b83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24"/>
          <w:szCs w:val="24"/>
        </w:rPr>
        <w:t xml:space="preserve">卓品智能科技股份有限公司</w:t>
      </w:r>
    </w:p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AI 平台底座 — 架构设计</w:t>
      </w:r>
    </w:p>
    <w:p>
      <w:pPr>
        <w:spacing w:after="120"/>
        <w:jc w:val="center"/>
      </w:pPr>
      <w:r>
        <w:rPr>
          <w:b/>
          <w:bCs/>
          <w:color w:val="555555"/>
          <w:sz w:val="22"/>
          <w:szCs w:val="22"/>
        </w:rPr>
        <w:t xml:space="preserve">AIOps 讨论稿 v0.1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700"/>
        <w:gridCol w:w="298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读者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AIOps 项目成员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讨论稿 v0.1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拟制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AI 转型项目组 · 2026-06-07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配套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5-平台底座/zhuopin_platform/</w:t>
            </w:r>
          </w:p>
        </w:tc>
      </w:tr>
    </w:tbl>
    <w:p>
      <w:pPr>
        <w:spacing w:after="120"/>
      </w:pPr>
    </w:p>
    <w:p>
      <w:pPr>
        <w:pBdr>
          <w:left w:val="single" w:color="1F4E79" w:sz="16" w:space="8"/>
        </w:pBdr>
        <w:shd w:fill="EAF1FB" w:val="clear"/>
        <w:spacing w:after="160"/>
      </w:pPr>
      <w:r>
        <w:rPr>
          <w:sz w:val="19"/>
          <w:szCs w:val="19"/>
        </w:rPr>
        <w:t xml:space="preserve">本文面向工程实现，可在团队会上逐条过。VP 视角的范围/排序/冲突消除见《Phase1-基础设施与智能体架构设计》。流程图为矢量(SVG)，在 Word 中可右键「转换为形状」后编辑。</w:t>
      </w:r>
    </w:p>
    <w:p>
      <w:pPr>
        <w:pStyle w:val="Heading1"/>
      </w:pPr>
      <w:r>
        <w:t xml:space="preserve">一、目的与读者</w:t>
      </w:r>
    </w:p>
    <w:p>
      <w:pPr>
        <w:spacing w:after="100"/>
      </w:pPr>
      <w:r>
        <w:rPr>
          <w:sz w:val="21"/>
          <w:szCs w:val="21"/>
        </w:rPr>
        <w:t xml:space="preserve">为六部门 38 个数字员工提供一套共享底座，让每个场景只写业务逻辑，审计、OEM 隔离、ERP/SRM 接入、文档解析等地基复用同一份代码（单一可信源，满足 IATF）。读者：AIOps 开发与运维工程师。</w:t>
      </w:r>
    </w:p>
    <w:p>
      <w:pPr>
        <w:spacing w:after="40"/>
      </w:pPr>
      <w:r>
        <w:rPr>
          <w:b/>
          <w:bCs/>
          <w:sz w:val="21"/>
          <w:szCs w:val="21"/>
        </w:rPr>
        <w:t xml:space="preserve">设计三原则：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只读优先</w:t>
      </w:r>
      <w:r>
        <w:rPr>
          <w:sz w:val="21"/>
          <w:szCs w:val="21"/>
        </w:rPr>
        <w:t xml:space="preserve">：所有外部数据接入默认只读、最小权限。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写入路径与存储解耦</w:t>
      </w:r>
      <w:r>
        <w:rPr>
          <w:sz w:val="21"/>
          <w:szCs w:val="21"/>
        </w:rPr>
        <w:t xml:space="preserve">：审计/隔离的业务接口稳定，底层后端（JSONL→ClickHouse、Chroma）可换。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可追溯/可解释</w:t>
      </w:r>
      <w:r>
        <w:rPr>
          <w:sz w:val="21"/>
          <w:szCs w:val="21"/>
        </w:rPr>
        <w:t xml:space="preserve">：评分用确定性公式或规则引擎，LLM 只做文本生成与检索，决策留痕。</w:t>
      </w:r>
    </w:p>
    <w:p>
      <w:pPr>
        <w:spacing w:after="60"/>
      </w:pPr>
    </w:p>
    <w:p>
      <w:pPr>
        <w:pStyle w:val="Heading1"/>
      </w:pPr>
      <w:r>
        <w:t xml:space="preserve">二、架构总览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2352675"/>
            <wp:effectExtent t="0" r="0" b="0" l="0"/>
            <wp:docPr id="1" name="平台底座模块架构图" descr="平台底座模块架构图" title="平台底座模块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777777"/>
          <w:sz w:val="17"/>
          <w:szCs w:val="17"/>
        </w:rPr>
        <w:t xml:space="preserve">图 1 · 平台底座模块架构（红色边框为 OEM 隔离合规红线）</w:t>
      </w:r>
    </w:p>
    <w:p>
      <w:pPr>
        <w:pStyle w:val="Heading1"/>
      </w:pPr>
      <w:r>
        <w:t xml:space="preserve">三、分层组件职责与接口契约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15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接口契约（稳定面）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audit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每次 AI 决策写一条可追溯记录，红色数据不落盘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✅ 可用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AuditLogger.record(AuditEvent) / .query_by / .verify_integrity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isolation.router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按 OEM 上下文路由向量库，跨库/未注册拒绝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✅ 可用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OEMRouter.resolve / .guard → CrossOEMAccessError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isolation.rag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per-OEM + 通用知识库检索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待接 Chroma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retrieve(query, collection, k)（待定）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u9c_connector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U9C 只读数据（采购/财务）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待接口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复用 supplychain OpenAPI 封装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srm_connector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携客云 SRM 交付数据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从 SC1 抽取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get_delivery_metrics(code, days) 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doc_parser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PDF/Word 统一解析（SC4/Q4/R1/R5 共用）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骨架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parse(path) -&gt; StructuredDoc（待定）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external_apis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芯片 EOL/供货、物流、情报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待选型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各 provider 适配器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mcp_orchestration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工具调用编排 + 角色/部门/OEM 权限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待建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统一入口：调用前鉴权、调用后审计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跨部门智能体逻辑（含 2027Q1 联动）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🔧 骨架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由全局 ~/.claude/agents 沉淀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sz w:val="20"/>
          <w:szCs w:val="20"/>
        </w:rPr>
        <w:t xml:space="preserve">审计事件最小字段（已实现）：</w:t>
      </w:r>
      <w:r>
        <w:rPr>
          <w:sz w:val="20"/>
          <w:szCs w:val="20"/>
        </w:rPr>
        <w:t xml:space="preserve">scenario, action, evaluator, automation_level, decision{}, data_sources{}, content_hash, oem_context, report_path, error, timestamp。原始敏感数值不进该结构。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OEM 隔离规则（已实现）：</w:t>
      </w:r>
      <w:r>
        <w:rPr>
          <w:sz w:val="20"/>
          <w:szCs w:val="20"/>
        </w:rPr>
        <w:t xml:space="preserve">通用库放行；本客户专属库放行；其它 OEM 专属库或未注册客户 → CrossOEMAccessError 并审计。</w:t>
      </w:r>
    </w:p>
    <w:p>
      <w:pPr>
        <w:pStyle w:val="Heading1"/>
      </w:pPr>
      <w:r>
        <w:t xml:space="preserve">四、典型数据流（以 SC2 采购周报为例）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1247775"/>
            <wp:effectExtent t="0" r="0" b="0" l="0"/>
            <wp:docPr id="1" name="SC2 数据流" descr="SC2 数据流" title="SC2 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777777"/>
          <w:sz w:val="17"/>
          <w:szCs w:val="17"/>
        </w:rPr>
        <w:t xml:space="preserve">图 2 · 只读取数 → 编排鉴权 → 生成 → 审计留痕</w:t>
      </w:r>
    </w:p>
    <w:p>
      <w:pPr>
        <w:pStyle w:val="Heading1"/>
      </w:pPr>
      <w:r>
        <w:t xml:space="preserve">五、zhuopin_platform 包结构与使用</w:t>
      </w:r>
    </w:p>
    <w:p>
      <w:pPr>
        <w:spacing w:after="40"/>
      </w:pPr>
      <w:r>
        <w:rPr>
          <w:sz w:val="21"/>
          <w:szCs w:val="21"/>
        </w:rPr>
        <w:t xml:space="preserve">已建（5-平台底座/zhuopin_platform/，Python ≥ 3.11，冒烟测试通过）：</w:t>
      </w:r>
    </w:p>
    <w:p>
      <w:pPr>
        <w:pBdr>
          <w:left w:val="single" w:color="9bb4cc" w:sz="12" w:space="6"/>
        </w:pBdr>
        <w:shd w:fill="F4F4F4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zhuopin_platform/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├── audit/{events,sinks,logger}.py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├── data_isolation_layer/router.py  (+ rag/ 待建)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├── shared_tools/{doc_parser,u9c_connector,srm_connector,external_apis}/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├── agents/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└── platform/mcp_orchestration/  (待建)</w:t>
      </w:r>
    </w:p>
    <w:p>
      <w:pPr>
        <w:pBdr>
          <w:left w:val="single" w:color="9bb4cc" w:sz="12" w:space="6"/>
        </w:pBdr>
        <w:shd w:fill="F4F4F4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tests/test_smoke.py</w:t>
      </w:r>
    </w:p>
    <w:p>
      <w:pPr>
        <w:spacing w:after="40" w:before="80"/>
      </w:pPr>
      <w:r>
        <w:rPr>
          <w:sz w:val="21"/>
          <w:szCs w:val="21"/>
        </w:rPr>
        <w:t xml:space="preserve">各场景依赖方式（解决 SC1↔supplychain 跨工程引用老问题）：</w:t>
      </w:r>
    </w:p>
    <w:p>
      <w:pPr>
        <w:pBdr>
          <w:left w:val="single" w:color="9bb4cc" w:sz="12" w:space="6"/>
        </w:pBdr>
        <w:shd w:fill="F4F4F4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pip install -e ../../5-平台底座/zhuopin_platform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from zhuopin_platform.audit import AuditLogger, AuditEvent</w:t>
      </w:r>
    </w:p>
    <w:p>
      <w:pPr>
        <w:pBdr>
          <w:left w:val="single" w:color="9bb4cc" w:sz="12" w:space="6"/>
        </w:pBdr>
        <w:shd w:fill="F4F4F4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from zhuopin_platform.shared_tools.srm_connector import ...</w:t>
      </w:r>
    </w:p>
    <w:p>
      <w:pPr>
        <w:spacing w:after="80"/>
      </w:pPr>
    </w:p>
    <w:p>
      <w:pPr>
        <w:pStyle w:val="Heading1"/>
      </w:pPr>
      <w:r>
        <w:t xml:space="preserve">六、新数字员工开发流程（团队统一）</w:t>
      </w:r>
    </w:p>
    <w:p>
      <w:pPr>
        <w:pBdr>
          <w:left w:val="single" w:color="9bb4cc" w:sz="12" w:space="6"/>
        </w:pBdr>
        <w:shd w:fill="F4F4F4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1. 新建 4-数字员工/部门/场景名/ ，写 CLAUDE.md 业务上下文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2. pip install -e 平台底座包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3. openspec init → /opsx:propose "场景描述" → proposal+design+tasks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4. Paul 审查 design.md（15-30 分钟）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5. /opsx:apply → SuperPowers subagent-driven-development（先写测试）</w:t>
      </w:r>
    </w:p>
    <w:p>
      <w:pPr>
        <w:pBdr>
          <w:left w:val="single" w:color="9bb4cc" w:sz="12" w:space="6"/>
        </w:pBd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6. 真实数据验证（任务 N.1）</w:t>
      </w:r>
    </w:p>
    <w:p>
      <w:pPr>
        <w:pBdr>
          <w:left w:val="single" w:color="9bb4cc" w:sz="12" w:space="6"/>
        </w:pBdr>
        <w:shd w:fill="F4F4F4" w:val="clear"/>
        <w:spacing w:after="40" w:before="0"/>
      </w:pPr>
      <w:r>
        <w:rPr>
          <w:rFonts w:ascii="Consolas" w:cs="Consolas" w:eastAsia="Consolas" w:hAnsi="Consolas"/>
          <w:sz w:val="17"/>
          <w:szCs w:val="17"/>
        </w:rPr>
        <w:t xml:space="preserve">7. /opsx:archive → git commit + push</w:t>
      </w:r>
    </w:p>
    <w:p>
      <w:pPr>
        <w:spacing w:after="100" w:before="60"/>
      </w:pPr>
      <w:r>
        <w:rPr>
          <w:i/>
          <w:iCs/>
          <w:color w:val="555555"/>
          <w:sz w:val="20"/>
          <w:szCs w:val="20"/>
        </w:rPr>
        <w:t xml:space="preserve">多场景并行用 SuperPowers dispatching-parallel-agents，但上线节奏受人工审查带宽约束，不盲目并行上线。</w:t>
      </w:r>
    </w:p>
    <w:p>
      <w:pPr>
        <w:pStyle w:val="Heading1"/>
      </w:pPr>
      <w:r>
        <w:t xml:space="preserve">七、环境与部署要点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Python 3.11+；依赖经 pyproject.toml（含 [clickhouse]、[dev] extra）。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凭证走 .env（DeepSeek Key、XKY_* SRM、U9C OpenAPI Key），不入库。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MCP Server：U9C-MCP v0.1 只读，封装在 shared_tools/u9c_connector；SRM 已生产。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审计文件 reports/audit_log.jsonl 不入库；9 月迁 ClickHouse 时双写灰度校验后切换。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Git：Raytheoner/zhuopin-ai-transformation，master，所有 Skill/Agent 纳入版本管理。</w:t>
      </w:r>
    </w:p>
    <w:p>
      <w:pPr>
        <w:spacing w:after="60"/>
      </w:pPr>
    </w:p>
    <w:p>
      <w:pPr>
        <w:pStyle w:val="Heading1"/>
      </w:pPr>
      <w:r>
        <w:t xml:space="preserve">八、待团队讨论拍板的开放问题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mcp_orchestration 鉴权模型：</w:t>
      </w:r>
      <w:r>
        <w:rPr>
          <w:sz w:val="21"/>
          <w:szCs w:val="21"/>
        </w:rPr>
        <w:t xml:space="preserve">角色×部门×OEM 三维权限怎么表达？最小可用版长什么样？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doc_parser 选型：</w:t>
      </w:r>
      <w:r>
        <w:rPr>
          <w:sz w:val="21"/>
          <w:szCs w:val="21"/>
        </w:rPr>
        <w:t xml:space="preserve">用 Claude 原生文档能力，还是先抽文本再喂模型？统一 StructuredDoc 字段。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U9C-MCP v0.1 接口面：</w:t>
      </w:r>
      <w:r>
        <w:rPr>
          <w:sz w:val="21"/>
          <w:szCs w:val="21"/>
        </w:rPr>
        <w:t xml:space="preserve">复用 supplychain OpenAPI 封装到什么粒度？只读视图清单与 IT 对齐。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审计迁移 ClickHouse 触发条件：</w:t>
      </w:r>
      <w:r>
        <w:rPr>
          <w:sz w:val="21"/>
          <w:szCs w:val="21"/>
        </w:rPr>
        <w:t xml:space="preserve">记录量/查询需求到什么程度切？双写窗口多久？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RAG/Chroma 落地：</w:t>
      </w:r>
      <w:r>
        <w:rPr>
          <w:sz w:val="21"/>
          <w:szCs w:val="21"/>
        </w:rPr>
        <w:t xml:space="preserve">per-OEM Collection 命名规范、嵌入模型、增量更新；Q1 客诉库结构化先行。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错误/回滚 SOP 模板：</w:t>
      </w:r>
      <w:r>
        <w:rPr>
          <w:sz w:val="21"/>
          <w:szCs w:val="21"/>
        </w:rPr>
        <w:t xml:space="preserve">置信度阈值、人工复核触发、IATF 审计记录修订规范——每场景上线前必备。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运维指标：</w:t>
      </w:r>
      <w:r>
        <w:rPr>
          <w:sz w:val="21"/>
          <w:szCs w:val="21"/>
        </w:rPr>
        <w:t xml:space="preserve">成功率/人工介入率/Token 消耗/SLA 看板放哪、怎么采。</w:t>
      </w:r>
    </w:p>
    <w:p>
      <w:pPr>
        <w:spacing w:after="80"/>
      </w:pPr>
    </w:p>
    <w:p>
      <w:pPr>
        <w:pStyle w:val="Heading1"/>
      </w:pPr>
      <w:r>
        <w:t xml:space="preserve">九、近期里程碑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7 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平台底座 audit+isolation 收口；U9C-MCP v0.1（待接口）；SC1 改造+上线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8 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doc_parser 共享服务；SC2 开发；外部 API 选型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9 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FI1/SC3 上线；U9C 财务模块接通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9 月起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审计 ClickHouse 迁移；RAG/Chroma 接入（Q1 知识库）</w:t>
            </w:r>
          </w:p>
        </w:tc>
      </w:tr>
    </w:tbl>
    <w:p>
      <w:pPr>
        <w:spacing w:after="120"/>
      </w:pPr>
    </w:p>
    <w:p>
      <w:r>
        <w:rPr>
          <w:i/>
          <w:iCs/>
          <w:color w:val="777777"/>
          <w:sz w:val="18"/>
          <w:szCs w:val="18"/>
        </w:rPr>
        <w:t xml:space="preserve">讨论稿 v0.1 — 会上逐条标「同意/待议/反对」，会后据此出 v0.2，并把定稿接口契约写进 README。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共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卓品智能 · AI 平台底座架构设计（AIOps 讨论稿）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20" w:before="260"/>
      <w:outlineLvl w:val="0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color w:val="2E5B8A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415dd7d362aa5187472663a8f4df90589bc364.svg"/><Relationship Id="rId10" Type="http://schemas.openxmlformats.org/officeDocument/2006/relationships/image" Target="media/ef6dc0f181163a458512c3d026e594803d107632.png"/><Relationship Id="rId11" Type="http://schemas.openxmlformats.org/officeDocument/2006/relationships/image" Target="media/2a37c7cb08ad8c18edc3fb64ec20fa500b57b831.svg"/><Relationship Id="rId12" Type="http://schemas.openxmlformats.org/officeDocument/2006/relationships/image" Target="media/350079c49a61414c778f0f2991fd8dcdc76d8b82.png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平台底座架构设计（AIOps 讨论稿）</dc:title>
  <dc:creator>卓品智能 AI 转型项目组</dc:creator>
  <cp:lastModifiedBy>Un-named</cp:lastModifiedBy>
  <cp:revision>1</cp:revision>
  <dcterms:created xsi:type="dcterms:W3CDTF">2026-06-07T15:49:45.402Z</dcterms:created>
  <dcterms:modified xsi:type="dcterms:W3CDTF">2026-06-07T15:49:45.403Z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