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陈承，回你一句：那个兜底暂时不用做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陈承，回你一句：那个兜底暂时不用做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（IT 部跟进信第 8 封）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一、先谢你的定性 —— 你排除掉的正是我们原来的猜测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AP-2025120181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那个 302，你给的结论是</w:t>
      </w:r>
      <w:r>
        <w:rPr>
          <w:rFonts w:ascii="Microsoft YaHei" w:hAnsi="Microsoft YaHei" w:eastAsia="Microsoft YaHei" w:cs="Microsoft YaHei"/>
          <w:b/>
          <w:sz w:val="21"/>
        </w:rPr>
        <w:t>单例、非系统性，而且不是「存储路径写死 localhost」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这一句把我们原来那个提问解掉了：我们信里写的猜测就是「某个时间段入库的附件都存了 localhost 路径」，</w:t>
      </w:r>
      <w:r>
        <w:rPr>
          <w:rFonts w:ascii="Microsoft YaHei" w:hAnsi="Microsoft YaHei" w:eastAsia="Microsoft YaHei" w:cs="Microsoft YaHei"/>
          <w:b/>
          <w:sz w:val="21"/>
        </w:rPr>
        <w:t>你排除的恰恰是这条</w:t>
      </w:r>
      <w:r>
        <w:rPr>
          <w:rFonts w:ascii="Microsoft YaHei" w:hAnsi="Microsoft YaHei" w:eastAsia="Microsoft YaHei" w:cs="Microsoft YaHei"/>
          <w:b w:val="0"/>
          <w:sz w:val="21"/>
        </w:rPr>
        <w:t>。既然是单例，我们这边取附件的逻辑就不用加那层容错了。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二、答你的问题：暂不需要那个兜底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你问的那句我们看到了 —— 「之前回信附件下载是为了 OCR，现在 OCR 的方案已经否了，不需要附件下载了，如果还确认要的话我们按建议增加登录 cookie」。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你这句对 OCR 的判断和我们的记录一致，不是误会。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FI2 的 round-2 已在 8 月 5 日改道为「税务系统导出 Excel → 定时取数」，附件下载这条取件路径确实随 OCR 方案一并作废了。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所以：那个「服务端带登录态调 U9C 下载端点」的兜底，暂时不需要做，不占你的排期。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方案本身没问题、也谢谢你主动给 —— </w:t>
      </w:r>
      <w:r>
        <w:rPr>
          <w:rFonts w:ascii="Microsoft YaHei" w:hAnsi="Microsoft YaHei" w:eastAsia="Microsoft YaHei" w:cs="Microsoft YaHei"/>
          <w:b/>
          <w:sz w:val="21"/>
        </w:rPr>
        <w:t>如果后续有场景又需要按 AP 单号取附件原件，我再来找你</w:t>
      </w:r>
      <w:r>
        <w:rPr>
          <w:rFonts w:ascii="Microsoft YaHei" w:hAnsi="Microsoft YaHei" w:eastAsia="Microsoft YaHei" w:cs="Microsoft YaHei"/>
          <w:b w:val="0"/>
          <w:sz w:val="21"/>
        </w:rPr>
        <w:t>，到时候直接照你这个思路走就行。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这件到此收口，你不用再回了。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三、顺带同步一件：企微凭据已收到，正在用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上一封信里请你办的自建应用，四项都齐了：</w:t>
      </w:r>
      <w:r>
        <w:rPr>
          <w:rFonts w:ascii="Microsoft YaHei" w:hAnsi="Microsoft YaHei" w:eastAsia="Microsoft YaHei" w:cs="Microsoft YaHei"/>
          <w:b/>
          <w:sz w:val="21"/>
        </w:rPr>
        <w:t>CorpID／AgentID／回调可信域名／可见范围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两点想说一下：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你直接给了一个真实域名，把我们预判最容易卡住的那个点绕开了。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我们原来最担心的就是「内网 IP 能不能登记成可信域名」，还专门问了替代方案 —— 你这样一给，这个问题自动消失了。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Secret 你按信里的红线放在 `.51` 的 `.env` 里、没出现在聊天中，这个做法对。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口令类的东西就该这么走，后面涉及密钥的协作也照此办理。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下一步</w:t>
      </w:r>
      <w:r>
        <w:rPr>
          <w:rFonts w:ascii="Microsoft YaHei" w:hAnsi="Microsoft YaHei" w:eastAsia="Microsoft YaHei" w:cs="Microsoft YaHei"/>
          <w:b w:val="0"/>
          <w:sz w:val="21"/>
        </w:rPr>
        <w:t>是拿这套凭据去做统一门户「真人企微身份登录」那一环的真实验证。</w:t>
      </w:r>
      <w:r>
        <w:rPr>
          <w:rFonts w:ascii="Microsoft YaHei" w:hAnsi="Microsoft YaHei" w:eastAsia="Microsoft YaHei" w:cs="Microsoft YaHei"/>
          <w:b/>
          <w:sz w:val="21"/>
        </w:rPr>
        <w:t>排期还没定，定了再同步你</w:t>
      </w:r>
      <w:r>
        <w:rPr>
          <w:rFonts w:ascii="Microsoft YaHei" w:hAnsi="Microsoft YaHei" w:eastAsia="Microsoft YaHei" w:cs="Microsoft YaHei"/>
          <w:b w:val="0"/>
          <w:sz w:val="21"/>
        </w:rPr>
        <w:t>，届时如果需要你在后台配合调一下（比如可见范围微调），我提前说。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四、三要素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做什么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不用做任何事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附件下载兜底不做，凭据也已到位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什么时候交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不用回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；后续 OAuth 验证真需要你配合时，我另外找你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陈承，回你一句：那个兜底暂时不用做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