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个流程有可核算的月度价值（工时节省/延期挽回/风险拦截，保供案例账本为记账模板）；覆盖轨：维持 14-16 个场景目标，但一律按"上线四档口径"如实标注档位（定义见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>＝三条同满足：价值线（≥3 流程月度价值+错配成本基线对照）、使用线（≥5 场景档3 且周活跃达标）、链路线（链 D 先手联动点 L4/L5 贯通）；不达标动作=收缩保三（链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>：陈忱（质量域 AI 对接人）就位 + 人力增援，客诉/IATF 两个"靠人就能提"的自由档各再提前 1 月（客诉→2026-12、IATF→2027-01）。PPAP/FMEA/IQC/SPC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审核准备助手（修订后：2027-01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应付会计用 Excel 逐笔核对 PO/GR/INV，每天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总额对但明细行错位（A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供应商编码≠我方编码、分批到货分批开票、税率错、重复发票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三单数据准备与完整性校验：OCR 解析 SRM 发票、校验必填字段（物料码/数量/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单价/金额/税率/发票号）、缺失退回、检测 PO 变更未同步、建 PO↔GR↔INV 行级映射、数据质量日报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明细行级四维匹配：按「物料码+数量+金额+税额」逐行匹配，物料编码映射自学习，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分批到货 FIFO/指定拆分，结果五分类（完全/金额微差/明细错位/数量金额不符/无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异常拦截与退单清单：标准化退单、SRM 推供应商+采购跟单员、退单跟踪闭环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 明细行、应付；SRM 发票原件+明细行+OCR；物料编码映射表；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供应商主数据（约定税率/资质）；历史发票/退单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【卡口】U9C CommonEntity/Query 外网 404（端点时间表或 CSV 桥接）；SRM 900401；OCR 选型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财务/销售/运营低难度场景同步跟进（9月）→ 工程研发/质量启动（10月）→ 11月起六部门全面并行。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（提前）；客诉分流运行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（含 OEM 波动预测子功能，原 SC9 并入）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>：三场景共同前提为 OEM 隔离层 Chroma 9/30 就绪。Paul 7/15 前约 IT 推动方案评审与责任人，9/30 为硬截止；</w:t>
      </w:r>
      <w:r>
        <w:rPr>
          <w:rFonts w:ascii="Microsoft YaHei" w:hAnsi="Microsoft YaHei" w:eastAsia="Microsoft YaHei" w:cs="Microsoft YaHei"/>
          <w:b/>
          <w:sz w:val="20"/>
        </w:rPr>
        <w:t>若 9/30 未就绪，R 系列整组顺延入 S3 缓冲消化</w:t>
      </w:r>
      <w:r>
        <w:rPr>
          <w:rFonts w:ascii="Microsoft YaHei" w:hAnsi="Microsoft YaHei" w:eastAsia="Microsoft YaHei" w:cs="Microsoft YaHei"/>
          <w:b w:val="0"/>
          <w:sz w:val="20"/>
        </w:rPr>
        <w:t>，S1 年底可达场景数从约 19 降至 16-17（仍在 14-16 目标区间，但工程研发部年底零上线）。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7 月内指定</w:t>
      </w:r>
      <w:r>
        <w:rPr>
          <w:rFonts w:ascii="Microsoft YaHei" w:hAnsi="Microsoft YaHei" w:eastAsia="Microsoft YaHei" w:cs="Microsoft YaHei"/>
          <w:b w:val="0"/>
          <w:sz w:val="20"/>
        </w:rPr>
        <w:t>：工程研发部目前无 AI 对接人（陈忱为质量域），R1 10 月启动需研发侧接口人整理 OEM 需求文档库（分客户脱敏入库）、协调隔离配置。任务单格式参考《质量域AI对接人-首月任务单》。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年历史订单+砍单记录+预测复盘判例，场景本体 2027-02/03 不动）〔2026-07-06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（S1 场景 9 月启动的 8 周纪律 + 知识线牵头，六部门接口人至此配齐；任务单套用《质量域AI对接人-首月任务单》格式）——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：SC7①（原 SC5 引擎承接）+ O2/O1 收割落位 + 三部门并行。财务（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）。本阶段（2026 7-12月）核心节奏：7-8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v2）/销售启动 → 10 月六部门全面入轨（SC4、R1、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、S2）→ 11-12 月各部门稳步推进（O2 芯片预警子功能深化、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、R2/R3、O3、S3/S4，质量立项门禁②转入试点/趋稳），不再堆叠。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六部门数字员工部署总数（目标：14-16 个场景上线或试点中，与实施计划 §二口径一致）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上线（客诉已 2026-12 上线运行）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协同架构设计（MCP 跨部门权限和数据流）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供应链-质量联动场景设计（供应商风险 → FMEA 复核；FMEA 能力 5 月就绪后接入）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研发-供应链联动场景开发（新芯片选型 → 供货风险评估）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O2 芯片预警子功能全量上线（原 SC6 注销并入运营 O2，2026-07-06 v2.3）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（提前至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联动灰度试点（3 个联动场景）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R5 技术文档生成上线（R1–R4 已先期上线）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PPAP 审核助手准备（4 月上线，待 OEM 隔离层就绪）；IATF/体系（1 月已上线）稳定运行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8D①/立项门禁②/客诉分流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运营部 O3 物流追踪 + O4 预测维护稳定运行（O1/O2 已 9月上线）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联动全量推开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全部上线后深化运行（R5 已于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销售部 S1–S6 全量运行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试运行（AIOps 团队升级，增加 1-2 名 AI 工程师编制）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全部上线后深化/全量运行（R4 1月、R5 2月已上线）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 O3/O4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ISO 26262 AI 安全使用规范正式发布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正式成立，各部门 AI Champion 到位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所有数字员工运行稳定性达 95%+（SLA 达标）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（基础设施就绪即提前；IATF/体系已于 1 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S3 深化期（2027年7-12月）— 规模化与智能化 + 规划缓冲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：S3 无新场景启动任务（全部 42 场景按权威排期在 S2 末收口），本期承担双重职能：① 深化成熟与战略展望（下述）；② </w:t>
      </w:r>
      <w:r>
        <w:rPr>
          <w:rFonts w:ascii="Microsoft YaHei" w:hAnsi="Microsoft YaHei" w:eastAsia="Microsoft YaHei" w:cs="Microsoft YaHei"/>
          <w:b/>
          <w:sz w:val="20"/>
        </w:rPr>
        <w:t>吸收 S1/S2 的场景顺延</w:t>
      </w:r>
      <w:r>
        <w:rPr>
          <w:rFonts w:ascii="Microsoft YaHei" w:hAnsi="Microsoft YaHei" w:eastAsia="Microsoft YaHei" w:cs="Microsoft YaHei"/>
          <w:b w:val="0"/>
          <w:sz w:val="20"/>
        </w:rPr>
        <w:t>——任何因数据未就绪/人力未到位触发"顺延条款"的场景落入 S3 消化，缓冲消耗在月度 AI 运营 Review 中记录，消耗过半时由 Paul 评估是否调整 Phase 2 启动时点。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