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智能门户高保真UI方案审核稿</w:t>
      </w:r>
    </w:p>
    <w:p>
      <w:r>
        <w:t>供 Shao Peishen 审核整套业务体验。已选择方向1 明亮企业办公，修改意见无。本稿覆盖25类桌面页面、4类移动关键页面、统一UI规范与分模块应用建议。</w:t>
      </w:r>
    </w:p>
    <w:p>
      <w:r>
        <w:t>本轮完成设计与模拟原型，不改变生产API、认证、业务规则或部署。整套体验审核后另拟正式实施计划，合入和生产发布逐项授权。</w:t>
      </w:r>
    </w:p>
    <w:p>
      <w:r>
        <w:drawing>
          <wp:inline xmlns:a="http://schemas.openxmlformats.org/drawingml/2006/main" xmlns:pic="http://schemas.openxmlformats.org/drawingml/2006/picture">
            <wp:extent cx="6492240" cy="4665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65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P02 门户首页  1440×1024  六部门加应用入口  全部数字与业务操作均为模拟。</w:t>
      </w:r>
    </w:p>
    <w:p>
      <w:r>
        <w:t>审阅入口 http://127.0.0.1:4173/  完整25页效果图见同目录效果图总览.html。预览依赖本机服务存续，原型源码包可复现。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 w:val="0"/>
          <w:sz w:val="38"/>
        </w:rPr>
        <w:t>质量完整样板</w:t>
      </w:r>
    </w:p>
    <w:p>
      <w:r>
        <w:t>QD-B采用库内现有报告的六段结构和13模块。演示评分81不映射正式等级，委员会或PMO保留最终决定权。Q2采用D1到D7，既有分级、红线和质量工程师签发责任不因界面调整改变。</w:t>
      </w:r>
    </w:p>
    <w:p>
      <w:r>
        <w:drawing>
          <wp:inline xmlns:a="http://schemas.openxmlformats.org/drawingml/2006/main" xmlns:pic="http://schemas.openxmlformats.org/drawingml/2006/picture">
            <wp:extent cx="6492240" cy="46653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65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P14 QD-B预审报告  先看建议，再看规则与证据，补齐缺失资料后进入人工复核。</w:t>
      </w:r>
    </w:p>
    <w:p>
      <w:r>
        <w:t>上传页继承XLSX及20 MB上限，模板为EQQR8082 A2.1。原型只校验文件名称、类型和大小，不读取正文或上传。C05与档三未签认的效力缺口保留。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 w:val="0"/>
          <w:sz w:val="38"/>
        </w:rPr>
        <w:t>采购统一适配</w:t>
      </w:r>
    </w:p>
    <w:p>
      <w:r>
        <w:t>SC8覆盖成品、物料、案例和判例批改。四色同时提供文字说明，支持中文筛选、排序、分页、依据展开。物料使用独立样例数量，避免混用成品统计。</w:t>
      </w:r>
    </w:p>
    <w:p>
      <w:r>
        <w:drawing>
          <wp:inline xmlns:a="http://schemas.openxmlformats.org/drawingml/2006/main" xmlns:pic="http://schemas.openxmlformats.org/drawingml/2006/picture">
            <wp:extent cx="6492240" cy="46653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65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P19 SC8物料覆盖  来源及更新时间就近展示，缺资料不等同无风险。</w:t>
      </w:r>
    </w:p>
    <w:p>
      <w:r>
        <w:t>SC2周报保留期次、来源和人工备注。现网SC2打开超时、SC8结果表未核验的缺口继续登记。缓存刷新与业务重算分开，本稿不新增齐套规则、R2阈值或真实六键取数。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 w:val="0"/>
          <w:sz w:val="38"/>
        </w:rPr>
        <w:t>财务参考与调整边界</w:t>
      </w:r>
    </w:p>
    <w:p>
      <w:r>
        <w:t>财务需求回信尚未正式入档。FI2输入、结果和FI3付款清单作为信息结构参考，均显示需求待确认，未冻结默认查询、差异阈值、结案流程或付款权限。</w:t>
      </w:r>
    </w:p>
    <w:p>
      <w:r>
        <w:drawing>
          <wp:inline xmlns:a="http://schemas.openxmlformats.org/drawingml/2006/main" xmlns:pic="http://schemas.openxmlformats.org/drawingml/2006/picture">
            <wp:extent cx="6492240" cy="4616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1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P23 FI2对账输入  本原型展示三源参考结构，数据导入及查询均为模拟。</w:t>
      </w:r>
    </w:p>
    <w:p>
      <w:r>
        <w:t>FI3逐项勾选及记录只产生演示反馈。收款方、账户尾号和金额为模拟，付款状态保持未执行。财务回件归档后再确认字段与适配顺序。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 w:val="0"/>
          <w:sz w:val="38"/>
        </w:rPr>
        <w:t>移动端关键流程</w:t>
      </w:r>
    </w:p>
    <w:p>
      <w:r>
        <w:t>移动端重点覆盖部门与应用入口、待办、结果查看和人工复核。底部导航显示当前项，侧栏关闭后不进入键盘焦点，支持关闭按钮和Escape返回触发控件。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M01 部门与应用入口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576242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762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rPr>
                <w:b/>
              </w:rPr>
              <w:t>M02 我的待办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576242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762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390×844首屏样例。长页面正常滚动，宽表格限于表格容器横向查看，页面本身没有横向溢出。企微实际WebView与角色映射留待项目实施验收。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 w:val="0"/>
          <w:sz w:val="38"/>
        </w:rPr>
        <w:t>移动结果与人工复核</w:t>
      </w:r>
    </w:p>
    <w:p>
      <w:r>
        <w:t>结果按建议、依据、缺失资料分层。人工决定必选，意见至少6字的表单校验为设计建议。反馈明确仅模拟记录，没有正式签认或生产写入。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M03 结果查看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576242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762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rPr>
                <w:b/>
              </w:rPr>
              <w:t>M04 模拟复核反馈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576242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4-feedback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762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复核记录仅在本次预览的页面会话内存中保留，刷新即清空。生产实施须绑定正式身份、权限与审计接口，L2不代签。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 w:val="0"/>
          <w:sz w:val="38"/>
        </w:rPr>
        <w:t>统一UI规范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8784"/>
      </w:tblGrid>
      <w:tr>
        <w:trPr>
          <w:tblHeader/>
          <w:cantSplit/>
        </w:trPr>
        <w:tc>
          <w:tcPr>
            <w:tcW w:type="dxa" w:w="1440"/>
            <w:vAlign w:val="center"/>
            <w:shd w:fill="E8EFF8"/>
          </w:tcPr>
          <w:p>
            <w:pPr>
              <w:spacing w:before="80" w:after="80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type="dxa" w:w="8784"/>
            <w:vAlign w:val="center"/>
            <w:shd w:fill="E8EFF8"/>
          </w:tcPr>
          <w:p>
            <w:pPr>
              <w:spacing w:before="80" w:after="80"/>
            </w:pPr>
            <w:r>
              <w:rPr>
                <w:b/>
                <w:sz w:val="20"/>
              </w:rPr>
              <w:t>规范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颜色</w:t>
            </w:r>
          </w:p>
        </w:tc>
        <w:tc>
          <w:tcPr>
            <w:tcW w:type="dxa" w:w="87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品牌蓝#1677ff；主按钮#126bd9；主文字#18253b；辅助文字#63738b；背景#f5f8fc；白色业务卡片。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字体</w:t>
            </w:r>
          </w:p>
        </w:tc>
        <w:tc>
          <w:tcPr>
            <w:tcW w:type="dxa" w:w="87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Microsoft YaHei等本地字体。业务标题28px、正文14px、元信息12px；移动正文14px、元信息11px。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布局</w:t>
            </w:r>
          </w:p>
        </w:tc>
        <w:tc>
          <w:tcPr>
            <w:tcW w:type="dxa" w:w="87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桌面1440×1024，侧栏214px，顶栏66px；移动390×844，内容边距17px，底部四项导航。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组件</w:t>
            </w:r>
          </w:p>
        </w:tc>
        <w:tc>
          <w:tcPr>
            <w:tcW w:type="dxa" w:w="87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导航、检索、筛选、表格、上传、报告、证据、人工复核、来源时间与反馈采用共同表达。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资产</w:t>
            </w:r>
          </w:p>
        </w:tc>
        <w:tc>
          <w:tcPr>
            <w:tcW w:type="dxa" w:w="87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Heroicons标准图标及独立生成插画。蓝色品牌图形为概念占位，应用前替换已核的官方资产。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键盘</w:t>
            </w:r>
          </w:p>
        </w:tc>
        <w:tc>
          <w:tcPr>
            <w:tcW w:type="dxa" w:w="87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原生Tab、Enter与空格，跳到主要内容、可见焦点及减少运动；移动底部当前项提供aria-current。</w:t>
            </w:r>
          </w:p>
        </w:tc>
      </w:tr>
    </w:tbl>
    <w:p/>
    <w:p>
      <w:r>
        <w:t>颜色不独立承载状态。服务在线、AI建议或绿色状态都不能等同业务通过。所有来源和更新时间就近可见，mock、试点、规划与需求待确认保持明确。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496"/>
      </w:tblGrid>
      <w:tr>
        <w:trPr>
          <w:tblHeader/>
          <w:cantSplit/>
        </w:trPr>
        <w:tc>
          <w:tcPr>
            <w:tcW w:type="dxa" w:w="1728"/>
            <w:vAlign w:val="center"/>
            <w:shd w:fill="E8EFF8"/>
          </w:tcPr>
          <w:p>
            <w:pPr>
              <w:spacing w:before="80" w:after="80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8496"/>
            <w:vAlign w:val="center"/>
            <w:shd w:fill="E8EFF8"/>
          </w:tcPr>
          <w:p>
            <w:pPr>
              <w:spacing w:before="80" w:after="80"/>
            </w:pPr>
            <w:r>
              <w:rPr>
                <w:b/>
                <w:sz w:val="20"/>
              </w:rPr>
              <w:t>表达及动作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加载</w:t>
            </w:r>
          </w:p>
        </w:tc>
        <w:tc>
          <w:tcPr>
            <w:tcW w:type="dxa" w:w="8496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保留上下文，正在加载演示快照。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空数据</w:t>
            </w:r>
          </w:p>
        </w:tc>
        <w:tc>
          <w:tcPr>
            <w:tcW w:type="dxa" w:w="8496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暂无符合条件记录，可调整筛选。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失败</w:t>
            </w:r>
          </w:p>
        </w:tc>
        <w:tc>
          <w:tcPr>
            <w:tcW w:type="dxa" w:w="8496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演示加载失败，可模拟重试。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陈旧与缺资料</w:t>
            </w:r>
          </w:p>
        </w:tc>
        <w:tc>
          <w:tcPr>
            <w:tcW w:type="dxa" w:w="8496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显示旧时间或缺口，先补资料再人工确认。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权限不足</w:t>
            </w:r>
          </w:p>
        </w:tc>
        <w:tc>
          <w:tcPr>
            <w:tcW w:type="dxa" w:w="8496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提示核验角色，不默认扩大权限。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规划与试点</w:t>
            </w:r>
          </w:p>
        </w:tc>
        <w:tc>
          <w:tcPr>
            <w:tcW w:type="dxa" w:w="8496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入口显式标阶段，规划没有真实执行按钮。</w:t>
            </w:r>
          </w:p>
        </w:tc>
      </w:tr>
    </w:tbl>
    <w:p/>
    <w:p>
      <w:pPr>
        <w:pStyle w:val="Heading1"/>
        <w:pageBreakBefore/>
      </w:pPr>
      <w:r>
        <w:rPr>
          <w:rFonts w:ascii="Microsoft YaHei" w:hAnsi="Microsoft YaHei" w:eastAsia="Microsoft YaHei"/>
          <w:b w:val="0"/>
          <w:sz w:val="38"/>
        </w:rPr>
        <w:t>公共门户与部门页面目录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2520"/>
        <w:gridCol w:w="6984"/>
      </w:tblGrid>
      <w:tr>
        <w:trPr>
          <w:tblHeader/>
          <w:cantSplit/>
        </w:trPr>
        <w:tc>
          <w:tcPr>
            <w:tcW w:type="dxa" w:w="720"/>
            <w:vAlign w:val="center"/>
            <w:shd w:fill="E8EFF8"/>
          </w:tcPr>
          <w:p>
            <w:pPr>
              <w:spacing w:before="80" w:after="8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520"/>
            <w:vAlign w:val="center"/>
            <w:shd w:fill="E8EFF8"/>
          </w:tcPr>
          <w:p>
            <w:pPr>
              <w:spacing w:before="80" w:after="80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6984"/>
            <w:vAlign w:val="center"/>
            <w:shd w:fill="E8EFF8"/>
          </w:tcPr>
          <w:p>
            <w:pPr>
              <w:spacing w:before="80" w:after="80"/>
            </w:pPr>
            <w:r>
              <w:rPr>
                <w:b/>
                <w:sz w:val="20"/>
              </w:rPr>
              <w:t>确认程度与主要边界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P01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员工登录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设计建议 / 规划；模拟员工身份进入门户；不创建凭据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P02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门户首页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展示建议；部门入口、常用应用及应用搜索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P03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应用目录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展示建议；中文检索、部门筛选、空结果与重置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P04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我的待办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设计建议 / 规划；检索/部门筛选；责任和期限可见，整合是设计目标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P05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人工复核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展示建议；建议/依据/缺失资料→人工决定与意见→本地模拟审计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P06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系统与发布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设计建议 / 规划；服务运行、技术验证、业务验收分开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P07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采购部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展示建议；SC8与SC2入口及能力边界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P08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质量部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展示建议；QD-B与Q2入口，预审与8D评审分开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P09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财务部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待业务确认；FI2/FI3参考入口，需求待确认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P10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销售部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设计建议 / 规划；明确规划模板，无可执行操作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P11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运营管理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设计建议 / 规划；明确规划模板，無真实任务执行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P12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工程研发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设计建议 / 规划；规划模板，OEM隔离与ASIL人工审核边界</w:t>
            </w:r>
          </w:p>
        </w:tc>
      </w:tr>
    </w:tbl>
    <w:p/>
    <w:p>
      <w:r>
        <w:t>确认程度区分业务边界与新的设计表达。统一待办、登录展示及系统状态聚合属于设计目标，当前尚无全部整合接口。销售、运营、研发采用明确的规划模板。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 w:val="0"/>
          <w:sz w:val="38"/>
        </w:rPr>
        <w:t>质量采购与财务页面目录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2520"/>
        <w:gridCol w:w="6984"/>
      </w:tblGrid>
      <w:tr>
        <w:trPr>
          <w:tblHeader/>
          <w:cantSplit/>
        </w:trPr>
        <w:tc>
          <w:tcPr>
            <w:tcW w:type="dxa" w:w="720"/>
            <w:vAlign w:val="center"/>
            <w:shd w:fill="E8EFF8"/>
          </w:tcPr>
          <w:p>
            <w:pPr>
              <w:spacing w:before="80" w:after="8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520"/>
            <w:vAlign w:val="center"/>
            <w:shd w:fill="E8EFF8"/>
          </w:tcPr>
          <w:p>
            <w:pPr>
              <w:spacing w:before="80" w:after="80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6984"/>
            <w:vAlign w:val="center"/>
            <w:shd w:fill="E8EFF8"/>
          </w:tcPr>
          <w:p>
            <w:pPr>
              <w:spacing w:before="80" w:after="80"/>
            </w:pPr>
            <w:r>
              <w:rPr>
                <w:b/>
                <w:sz w:val="20"/>
              </w:rPr>
              <w:t>确认程度与主要边界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P13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QD-B立项预审 · 上传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展示建议；XLSX/20 MB/EQQR8082 A2.1；仅文件元信息校验，模拟进度不读正文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P14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QD-B预审报告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展示建议；正式六段报告标题与13模块；演示评分不定档、不签认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P15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规则与证据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展示建议；规则版本、演示证据坐标、缺失资料与审计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P16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Q2 8D评审汇总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展示建议；D1–D7、演示分级及报告复核入口，不新增阈值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P17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8D报告复核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展示建议；原报告示例对照D6证据，退回仍由质量工程师签发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P18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SC8成品保供看板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展示建议；四色+文字；中文筛选、排序、分页、展开依据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P19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SC8物料覆盖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展示建议；独立物料演示数据，关联成品与缺资料态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P20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SC8案例处置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展示建议；案例状态、来源、责任和批改入口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P21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SC8判例批改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展示建议；判例反馈及意见校验；不改算法和阈值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P22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SC2采购周报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继承已确认边界 / 展示建议；周次、来源与更新时间；人工备注只模拟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P23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FI2对账输入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待业务确认；三源参考结构；期次/供应商操作仅演示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P24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FI2对账结果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待业务确认；一致、差异待确认、资料不足；模拟意见不结案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P25</w:t>
            </w:r>
          </w:p>
        </w:tc>
        <w:tc>
          <w:tcPr>
            <w:tcW w:type="dxa" w:w="2520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FI3付款校验清单</w:t>
            </w:r>
          </w:p>
        </w:tc>
        <w:tc>
          <w:tcPr>
            <w:tcW w:type="dxa" w:w="6984"/>
            <w:vAlign w:val="center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待业务确认；逐项核验；模拟勾选不改变账户、不付款</w:t>
            </w:r>
          </w:p>
        </w:tc>
      </w:tr>
    </w:tbl>
    <w:p/>
    <w:p>
      <w:r>
        <w:t>完整路由及来源映射见需求页面映射.json和页面索引.csv。规则效力仍以场景正本及后续签认记录为准，本稿不将早期PRD或界面样例追认为当前规则。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 w:val="0"/>
          <w:sz w:val="38"/>
        </w:rPr>
        <w:t>验证结论与应用顺序</w:t>
      </w:r>
    </w:p>
    <w:p>
      <w:r>
        <w:t>原型完成25桌面与4移动页面留图，核验导航、中文检索、筛选排序分页、证据展开、缺资料校验、模拟上传进度、人工意见及反馈、清单校验、移动导航与键盘焦点。320及1024窄屏检查无整页横向溢出。</w:t>
      </w:r>
    </w:p>
    <w:p>
      <w:r>
        <w:t>四项Node定向逻辑测试及Vite构建通过。一次Luna只读复核提出的两项移动导航问题已修复并回验。没有运行项目矩阵或业务fixture，也不证明新引擎、机器人监听、队列迁移或生产全链通过。</w:t>
      </w:r>
    </w:p>
    <w:p>
      <w:r>
        <w:t>应用顺序建议为公共框架、QD-B、Q2、采购，财务回件确认后适配。继续保留一个门户入口和独立业务服务，不为统一界面而合并后台。每模块另立intent、design与tasks，定向验证及review后申请发布。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整套体验审核记录</w:t>
      </w:r>
    </w:p>
    <w:p>
      <w:r>
        <w:t>1 选择题  A通过进入正式实施计划  B修改后再审  C暂缓。答复不构成部署批准。</w:t>
      </w:r>
    </w:p>
    <w:p>
      <w:r>
        <w:t>2 判断题  六部门加应用入口的首页结构符合工作习惯。是 / 否。</w:t>
      </w:r>
    </w:p>
    <w:p>
      <w:r>
        <w:t>3 判断题  建议、依据、缺失资料和人工决定分层清楚。是 / 否。</w:t>
      </w:r>
    </w:p>
    <w:p>
      <w:r>
        <w:t>4 选择题  A按上述顺序实施  B调整顺序并说明。</w:t>
      </w:r>
    </w:p>
    <w:p>
      <w:r>
        <w:t>5 请按页面ID填写需要修改的字段、信息或操作。</w:t>
      </w:r>
    </w:p>
    <w:p>
      <w:r>
        <w:t>6 请提供已核官方品牌图形的仓内路径，或在实施前另行确认资产。</w:t>
      </w:r>
    </w:p>
    <w:p>
      <w:r>
        <w:t>视觉方向1已经选定，无需重复回答。本稿的整套业务体验尚待审核，正式实施及生产发布保留后续逐项授权。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设计审核用  全部业务数据和操作为模拟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卓品智能  智能门户UI设计审核稿  2026年10月7日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icrosoft YaHei" w:hAnsi="Microsoft YaHei" w:eastAsia="Microsoft YaHei" w:cs="Microsoft YaHei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="Microsoft YaHei" w:hAnsi="Microsoft YaHei" w:eastAsia="Microsoft YaHei" w:cs="Microsoft YaHei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83" w:lineRule="auto"/>
      <w:outlineLvl w:val="2"/>
    </w:pPr>
    <w:rPr>
      <w:rFonts w:ascii="Microsoft YaHei" w:hAnsi="Microsoft YaHei" w:eastAsia="Microsoft YaHei" w:cs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="Microsoft YaHei" w:hAnsi="Microsoft YaHei" w:eastAsia="Microsoft YaHei" w:cs="Microsoft YaHei"/>
      <w:color w:val="000000"/>
      <w:spacing w:val="5"/>
      <w:kern w:val="28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="Microsoft YaHei" w:hAnsi="Microsoft YaHei" w:eastAsia="Microsoft YaHei" w:cs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