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（只清点不修改，供后续判例批改法逐个核）。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问题 2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）。详见 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判定规则库》（🔴 须专家产出的新增资产，非技术件）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判定并输出评分与分级，质量工程师最终确认）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「自动化等级」一行的措辞为本次改写，仍待 `质量部#9` 回件确认</w:t>
      </w:r>
      <w:r>
        <w:rPr>
          <w:rFonts w:ascii="Microsoft YaHei" w:hAnsi="Microsoft YaHei" w:eastAsia="Microsoft YaHei" w:cs="Microsoft YaHei"/>
          <w:b w:val="0"/>
          <w:sz w:val="20"/>
        </w:rPr>
        <w:t>：陈忱那份里这一行</w:t>
      </w:r>
      <w:r>
        <w:rPr>
          <w:rFonts w:ascii="Microsoft YaHei" w:hAnsi="Microsoft YaHei" w:eastAsia="Microsoft YaHei" w:cs="Microsoft YaHei"/>
          <w:b/>
          <w:sz w:val="20"/>
        </w:rPr>
        <w:t>原样保留着旧版的 L2「AI 起草」</w:t>
      </w:r>
      <w:r>
        <w:rPr>
          <w:rFonts w:ascii="Microsoft YaHei" w:hAnsi="Microsoft YaHei" w:eastAsia="Microsoft YaHei" w:cs="Microsoft YaHei"/>
          <w:b w:val="0"/>
          <w:sz w:val="20"/>
        </w:rPr>
        <w:t>，与新场景不符、判为旧版残留；</w:t>
      </w:r>
      <w:r>
        <w:rPr>
          <w:rFonts w:ascii="Microsoft YaHei" w:hAnsi="Microsoft YaHei" w:eastAsia="Microsoft YaHei" w:cs="Microsoft YaHei"/>
          <w:b/>
          <w:sz w:val="20"/>
        </w:rPr>
        <w:t>等级 L2 沿用她的选择不动，括号内描述按「判定」语义改写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。该确认点已在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（状态 </w:t>
      </w:r>
      <w:r>
        <w:rPr>
          <w:rFonts w:ascii="Consolas" w:hAnsi="Consolas" w:eastAsia="Consolas" w:cs="Consolas"/>
          <w:b w:val="0"/>
          <w:sz w:val="20"/>
        </w:rPr>
        <w:t>⏳ 待你审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隔离层就绪为前提；🔴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（采购/运营/质量/财务）。质量（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、O2 芯片预警子功能深化、O3、质量立项门禁②转入试点/趋稳）〔🔴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 Chroma 就绪，v6 硬截止 2027-01）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 Chroma 就绪，v6 硬截止 2027-01）；IATF/体系（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>：QD-B 已上线场景带着一条依赖它的 IATF 红线。〕这是法律合规问题，不是技术问题。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