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napToGrid w:val="0"/>
        <w:spacing w:before="0" w:after="16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36"/>
        </w:rPr>
        <w:t>SC2获批周收货与历史事件补齐说明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IT部#15　收件：陈承及IT数据接口维护同事　日期：2026-10-15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陈承及IT同事：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你方提供的30天查询窗口、时间分片、调用间隔、状态筛选及Z组织映射，我们已采用并实际取到数据。请继续在原获批范围内补齐ERP收货行和SRM历史事件。</w:t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推荐先提供同范围只读导出，ERP证书链由IT按既有维护流程并行处理；不必等证书修复或新接口开发完成才回资料。</w:t>
      </w:r>
    </w:p>
    <w:p>
      <w:pPr>
        <w:pStyle w:val="Heading2"/>
        <w:keepNext/>
        <w:widowControl/>
        <w:snapToGrid w:val="0"/>
        <w:spacing w:before="240"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一 已确认的范围与事实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本次主体为组织Z，即卓品智能科技无锡股份有限公司、携客号59578100。SRM组织归属取行级profitCenterCode，不再要求证明已答复的单头空组织字段或Z映射。其他4个组织不纳入。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获批业务周为北京时间2026-10-05 00:00:00至2026-10-12 00:00:00，右端不含，即10月5—11日完整周。需求和状态的必要关联历史自9月7日起；计划取与本周有效性有关的版本及其必要事件，事件时点截至10月11日结束。更早材料或更宽组织、时间范围另行说明，不自行扩大。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截至10月14日，SC2侧已核实本周请购7单71行，另补必要历史7单25行，共14单96行，行级组织全部Z；这批是当前“待转采购单头”子集，不能当完整分母或截至10月11日的历史状态。两版相关计划也已读取：3020261002128927（10月2日发布，466个item行）和3020261010311580（10月10日发布，28个item行）；新版oldBatchNo指向旧版，28个产品与供应商组合均能关联。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以下已答项不再提问：正式域名和入口、现有凭据所在配置、30天回溯、请求窗口与调用间隔、显式状态筛选、Z映射、五组织收货分布、退货以RtnType=2区分及PM_Rtn未启用。采购#684/#685已答的周周期、有效计划归属、零或空确认量处理继续沿用；下单六个工作日、排程五个工作日及权威日历不重议。本说明不请求新增凭据、提权、生产发布或业务验收批准。</w:t>
      </w:r>
    </w:p>
    <w:p>
      <w:pPr>
        <w:pStyle w:val="Heading2"/>
        <w:keepNext/>
        <w:widowControl/>
        <w:snapToGrid w:val="0"/>
        <w:spacing w:before="240"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二 300234的原次定位与单次复现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原次调用是直接访问官方开放接口，</w:t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并非旧服务代理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  <w:t>：2026-10-14 13:53:56.487377北京时间，POST https://openapi.xiekeyun.com/receiveBoard/queryList.json。原收据记录API错误300234，响应SHA256为b4552413c2cf9dc89f0bb06d92fc1cdaf8785269a5914e9e46c0abb81522bb6a；原nonce及完整响应未单独保全，原说明文字为硬编码，不能当逐字响应证据。</w:t>
      </w:r>
    </w:p>
    <w:p>
      <w:pPr>
        <w:keepNext/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2026-10-14 17:57:29.485883北京时间，用同一端点、相同业务参数和既有签名方法单次复现。HTTP为200，API错误为300234。下面列全请求字段；appKey、sign和erpCode账号值脱敏，未更换或配置凭据。</w:t>
      </w:r>
    </w:p>
    <w:p>
      <w:pPr>
        <w:keepNext/>
        <w:widowControl/>
        <w:shd w:val="clear" w:color="auto" w:fill="F4F4F4"/>
        <w:snapToGrid w:val="0"/>
        <w:spacing w:before="4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>{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"commonParam": {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  "appKey": "&lt;现有值 不在说明中提供&gt;",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  "ownerCompanyCode": "59578100", "operateCompanyCode": "59578100",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  "timestamp": "1791971849485", "timestamps": "1791971849",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  "sign": "&lt;现有签名 不在说明中提供&gt;"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},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"body": {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  "erpCode": "&lt;现有XKY_ERP_CODE 不在说明中提供&gt;",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  "startDate": "2026-10-05", "endDate": "2026-10-11", "cancelFlag": 0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}</w:t>
      </w:r>
    </w:p>
    <w:p>
      <w:pPr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>}</w:t>
      </w:r>
    </w:p>
    <w:p>
      <w:pPr>
        <w:keepNext/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完整错误响应内容如下，展示时换行；原始156字节已保全。</w:t>
      </w:r>
    </w:p>
    <w:p>
      <w:pPr>
        <w:keepNext/>
        <w:widowControl/>
        <w:shd w:val="clear" w:color="auto" w:fill="F4F4F4"/>
        <w:snapToGrid w:val="0"/>
        <w:spacing w:before="4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>{ "errorCode": "300234",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"errorMsg": "供应计划看板不允许查询当前时间7天之前的数据！",</w:t>
      </w:r>
    </w:p>
    <w:p>
      <w:pPr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 xml:space="preserve">  "result": 9, "data": null, "curServerTime": 1791971850400 }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复现原响应SHA256：041cfe4bd8613d18117bb80b50a9492f0c8abc6ce1a1ebca17b0d4dd81b9d8b2。证据编号board-reproduction-19a2e088，访问审计链1条校验通过。原次与新复现分开留存，不倒填原nonce或响应。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>结论已更正：300234仅定位到receiveBoard看板端点的7天限制，不能推广为请购或排程列表没有30天历史，也不能据此说获批周无业务数据。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  <w:t xml:space="preserve"> 我们已直接调用/requisition/getList.json、/requisition/getDetail.json及/schedule/getDetail.json成功。本节用于答复你方要求的接口、参数、时刻和完整错误，不要求重新验证已证明的30天结论。</w:t>
      </w:r>
    </w:p>
    <w:p>
      <w:pPr>
        <w:pStyle w:val="Heading2"/>
        <w:keepNext/>
        <w:widowControl/>
        <w:snapToGrid w:val="0"/>
        <w:spacing w:before="240"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三 ERP证书链错误及推荐补齐路径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10月14日已在既有定时任务电脑找到C:/supplychain/.env中的U9C_DB_HOST、U9C_DB_NAME、U9C_DB_USER、U9C_DB_PASSWORD配置项。未复制配置值到说明或新环境。以现有.NET SqlClient尝试一次连接，设置Encrypt=True、TrustServerCertificate=False、ApplicationIntent=ReadOnly、连接超时8秒。</w:t>
      </w:r>
    </w:p>
    <w:p>
      <w:pPr>
        <w:keepNext/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该电脑记录时刻为2026-10-14 20:10:51.123421北京时间。连接在登录阶段失败，错误关键原文为：</w:t>
      </w:r>
    </w:p>
    <w:p>
      <w:pPr>
        <w:keepNext/>
        <w:widowControl/>
        <w:shd w:val="clear" w:color="auto" w:fill="F4F4F4"/>
        <w:snapToGrid w:val="0"/>
        <w:spacing w:before="4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>已成功与服务器建立连接，但是在登录过程中发生错误。</w:t>
      </w:r>
    </w:p>
    <w:p>
      <w:pPr>
        <w:keepNext/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>provider: SSL Provider, error: 0</w:t>
      </w:r>
    </w:p>
    <w:p>
      <w:pPr>
        <w:widowControl/>
        <w:shd w:val="clear" w:color="auto" w:fill="F4F4F4"/>
        <w:snapToGrid w:val="0"/>
        <w:spacing w:before="0" w:after="0" w:line="264" w:lineRule="auto"/>
        <w:ind w:left="160"/>
      </w:pPr>
      <w:r>
        <w:rPr>
          <w:rFonts w:ascii="Consolas" w:hAnsi="Consolas" w:eastAsia="Microsoft YaHei" w:cs="Consolas"/>
          <w:color w:val="000000"/>
          <w:sz w:val="19"/>
        </w:rPr>
        <w:t>The certificate chain was issued by an authority that is not trusted.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证据编号u9-sql-strict-caaf9596：1次连接尝试，0次元数据查询、0次业务查询、0次服务器写入。该次失败未证明账号实际数据库权限。未关闭加密、信任全部证书、换账号或重复连接。另一条既有CommonEntity/Query路径实测HTTP404；现有GET /zp/api/GR/Query清单未列业务日期过滤，SC2侧未整表取数再本地筛选。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>推荐先由IT提供第四节规定的同范围只读导出。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  <w:t xml:space="preserve"> 如已有可按组织和业务日期筛选且能证明完整性的只读入口，也可提供现有入口及成功业务参数，不需要新建服务。证书修复作为并行备选：请既有维护负责人按正规证书信任链处理流程核查服务端证书、颁发链及客户端信任，并核现有账号只读权限；SC2侧不修改凭据、证书策略或权限。</w:t>
      </w:r>
    </w:p>
    <w:p>
      <w:pPr>
        <w:pStyle w:val="Heading2"/>
        <w:keepNext/>
        <w:widowControl/>
        <w:snapToGrid w:val="0"/>
        <w:spacing w:before="240"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四 Z组织获批周收货明细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请从既有U9C收货来源导出组织Z、业务日期[2026-10-05 00:00:00, 2026-10-12 00:00:00)的单头和行。数据层已知入口为PM_Receivement、PM_RcvLine，组织表为Base_Organization；可用现有等价接口或导出，不要求改造接口。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8121"/>
      </w:tblGrid>
      <w:tr>
        <w:trPr>
          <w:cantSplit/>
          <w:tblHeader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最小字段与交付要求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单头身份与归属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稳定单头ID、单号DocNo（接口RcvDocNo）、Org及对应组织编码Z；Z映射沿用已答结果，不重问组织定义。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单头日期与分类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BusinessDate及其时区或日期精度、RtnType、RcvDocType、Status；同时保留系统已有状态码映射。不要在导出中默默剔除某状态。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行身份与来源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稳定收货行ID、行号、对应单头ID或单号、来源单据号SrcDocNo及可取得的来源行号；用于唯一定位和跨系统匹配。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物料与数量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ItemCode、实收数量RcvQtyTU及对应单位；保持原始数值、符号、计量单位和精度。不要先做净额抵扣或合并不同来源行。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退货标识与关联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保留RtnType=0/2；如有期内退货，附现成的原收货行关联和退货数量字段。期内无退货则在manifest明确0单、0行，不要求独立退货接口或启用PM_Rtn。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数量及完整性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单头总数、正常/退货分组数、行数、按BusinessDate分组的单头/行数；如分页，说明页数及结束条件。逻辑字段与物理字段名称不同，只附现有映射。</w:t>
            </w:r>
          </w:p>
        </w:tc>
      </w:tr>
    </w:tbl>
    <w:p>
      <w:pPr>
        <w:widowControl/>
        <w:snapToGrid w:val="0"/>
        <w:spacing w:after="80" w:line="300" w:lineRule="auto"/>
      </w:pP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你方反馈的全5组织59单及其中Z46单、获批周期退货0作为对照基线保留，不视为SC2侧已收到行级收货证据。</w:t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本次只取Z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  <w:t>；如同范围导出头数与46不同，请保留实际结果并附查询时点、状态筛选或源数据变化说明，不修数来凑基线。10月13日退货不在本次获批周内，不要求该笔或其他组织数据。</w:t>
      </w:r>
    </w:p>
    <w:p>
      <w:pPr>
        <w:pStyle w:val="Heading2"/>
        <w:keepNext/>
        <w:widowControl/>
        <w:snapToGrid w:val="0"/>
        <w:spacing w:before="240"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五 SRM所需历史成员与事件字段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请优先提供已有、可追溯到10月11日结束时点的历史导出或只读操作记录。只有当前状态时，请注明“仅当前值”和取数时点，不用当前状态覆盖历史空缺。可以分批交付现有字段；确实不保留的字段明确写未保留，并指出已有快照或日志的可读替代来源。</w:t>
      </w:r>
    </w:p>
    <w:p>
      <w:pPr>
        <w:pStyle w:val="Heading3"/>
        <w:keepNext/>
        <w:widowControl/>
        <w:snapToGrid w:val="0"/>
        <w:spacing w:before="240"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3"/>
        </w:rPr>
        <w:t>1 请购完整成员和流转事件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8121"/>
      </w:tblGrid>
      <w:tr>
        <w:trPr>
          <w:cantSplit/>
          <w:tblHeader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所需事实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最小字段与要求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完整成员与行键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reqInnerNo、reqXkNo、lineNo、profitCenterCode、productCode、可用的ERP料号映射、publishTime、reqDate、需求量及单位。给现有单头/行状态枚举及此次实际纳入状态集合，不仅给当前待转采购头子集。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历史状态事件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稳定事件ID或现成日志行键、请购单与行键、事件类型、发生时间及精度/时区、变化前后状态、撤销或关闭的实际生效时刻。范围为9月7日起的必要关联历史，支持还原10月11日结束状态。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转采购关联与事件时间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请购单/行键、poErpNo、poLineNo、purchaseQty及单位、实际转采购或下单事件时间；部分转采购保留各条关联，不在导出阶段只剩一个汇总状态。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超出当前滚动窗的成员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需要9月7—14日已发布并可能影响本周期的成员及相关历史；使用既有历史快照或同范围导出。10月14日9月14日零点列表请求已返回300508，9月15日起四片实际成功。不要通过改获批日期规避历史缺口。</w:t>
            </w:r>
          </w:p>
        </w:tc>
      </w:tr>
    </w:tbl>
    <w:p>
      <w:pPr>
        <w:widowControl/>
        <w:snapToGrid w:val="0"/>
        <w:spacing w:after="80" w:line="300" w:lineRule="auto"/>
      </w:pP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已核实infoList包含poErpNo、poLineNo、purchaseQty、expectedDate、answerDate等字段；</w:t>
      </w:r>
      <w:r>
        <w:rPr>
          <w:rFonts w:ascii="Microsoft YaHei" w:hAnsi="Microsoft YaHei" w:eastAsia="Microsoft YaHei" w:cs="Microsoft YaHei"/>
          <w:b/>
          <w:color w:val="000000"/>
          <w:sz w:val="22"/>
        </w:rPr>
        <w:t>expectedDate不能当转采购事件时间，answerDate也不能未经映射就替代下单时间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  <w:t>。PR2610090001的3行innerProductCode实际为空，productCode作为候选料号，待ERP实际明细对应后完成关联。上述是具体来源缺口，不请IT重定采购六工作日规则。</w:t>
      </w:r>
    </w:p>
    <w:p>
      <w:pPr>
        <w:pStyle w:val="Heading3"/>
        <w:keepNext/>
        <w:widowControl/>
        <w:snapToGrid w:val="0"/>
        <w:spacing w:before="240"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3"/>
        </w:rPr>
        <w:t>2 排程版本和逐项事件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8121"/>
      </w:tblGrid>
      <w:tr>
        <w:trPr>
          <w:cantSplit/>
          <w:tblHeader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所需事实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最小字段与要求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本期有效版本成员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batchNo、oldBatchNo/可用关联版本号、publishTime、schedulePlanType、状态及已有枚举；列出实际影响本周的有效版本，不限于已核两版，也不导出与本周无关的未来计划列。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物料行与日期数量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itemId、scheduleNo、prodCode、innerVendorCode；detailId、scheduleDate、sourceType；subList的detailDate、scheduleQty、replyQty、prodPlanQty。保留空值和0的区别及单位，提供“页面第二行确认数量”与实际字段/日期列的现有对应依据或一个本周正值样本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答交历史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稳定事件ID、batchNo及item/排程行键、实际答交发生时间、当次确认数量和承诺日期、对应版本。若有多次答交，保留各次，不仅给当前replyTime。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调整和作废历史</w:t>
            </w:r>
          </w:p>
        </w:tc>
        <w:tc>
          <w:tcPr>
            <w:tcW w:type="dxa" w:w="81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B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napToGrid w:val="0"/>
              <w:spacing w:before="0" w:after="0" w:line="288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实际事件类型/时间、变化前后状态与数量日期、影响到的item或产品/供应商组合、旧新版本关系、实际生效时点；明确是整版还是部分行受影响。需要本期有效性所依赖的历史，不以当前作废状态倒推历史。</w:t>
            </w:r>
          </w:p>
        </w:tc>
      </w:tr>
    </w:tbl>
    <w:p>
      <w:pPr>
        <w:widowControl/>
        <w:snapToGrid w:val="0"/>
        <w:spacing w:after="80" w:line="300" w:lineRule="auto"/>
      </w:pP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两版本周日期列和三个数量字段已取到，28个新旧产品供应商组合关系已核；尚缺的是完整有效成员、正值字段对应及事件时点，不是重新索要这两版当前详情。旧版466行与新版28行不相加作分母；已签G02/G03继续执行，具体G04处置由采购根据真实案例复核。</w:t>
      </w:r>
    </w:p>
    <w:p>
      <w:pPr>
        <w:pStyle w:val="Heading2"/>
        <w:keepNext/>
        <w:pageBreakBefore/>
        <w:widowControl/>
        <w:snapToGrid w:val="0"/>
        <w:spacing w:before="240"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六 回件方式与时间安排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推荐按ERP单头、ERP收货行、请购成员/事件、排程成员/事件分别提供CSV、XLSX或JSON。每份附manifest：源系统/接口或导出视图、组织、查询区间与时间类型、时区、状态及类型筛选、导出时点、分页/结束条件、头行事件数、稳定行键、文件SHA256。字段未保留、只有当前值或匹配不完整的地方明列，不用空白表达“没有业务”。不要附appKey、appSecret、sign、密码、完整连接串或无关个人/价格字段。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>建议收到后1个工作日内先回复补齐方式、负责同事和预计交付日期；已有资料先回，余项列预计时间。</w:t>
      </w:r>
      <w:r>
        <w:rPr>
          <w:rFonts w:ascii="Microsoft YaHei" w:hAnsi="Microsoft YaHei" w:eastAsia="Microsoft YaHei" w:cs="Microsoft YaHei"/>
          <w:b w:val="0"/>
          <w:color w:val="000000"/>
          <w:sz w:val="22"/>
        </w:rPr>
        <w:t xml:space="preserve"> 优先顺序为Z组织本周收货行、请购截止事件、计划答交与作废事件。既有可读导出能满足时不等待新增接口；如某项不可提供，按本节格式说明已有替代材料和缺失字段即可。</w:t>
      </w:r>
    </w:p>
    <w:p>
      <w:pPr>
        <w:keepNext/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回件后，SC2侧核验hash与完整性、映射字段并逐行对账；姚祖怡按既有2A安排业务复核和验收。目前尚无完整对账、生产发布或验收通过记录。IT本次接口、组织及取数说明保留署名与引用，问题在原SC2事项集中反馈。</w:t>
      </w:r>
    </w:p>
    <w:p>
      <w:pPr>
        <w:widowControl/>
        <w:snapToGrid w:val="0"/>
        <w:spacing w:after="80" w:line="300" w:lineRule="auto"/>
      </w:pPr>
      <w:r>
        <w:rPr>
          <w:rFonts w:ascii="Microsoft YaHei" w:hAnsi="Microsoft YaHei" w:eastAsia="Microsoft YaHei" w:cs="Microsoft YaHei"/>
          <w:b w:val="0"/>
          <w:color w:val="000000"/>
          <w:sz w:val="22"/>
        </w:rPr>
        <w:t>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03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7"/>
      </w:rPr>
      <w:t xml:space="preserve">2026-10-15　SC2　｜　第 </w:t>
    </w:r>
    <w:fldSimple w:instr="PAGE"/>
    <w:r>
      <w:rPr>
        <w:rFonts w:ascii="Microsoft YaHei" w:hAnsi="Microsoft YaHei" w:eastAsia="Microsoft YaHei" w:cs="Microsoft YaHei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7"/>
      </w:rPr>
      <w:t>SC2 获批周数据与历史事件补齐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