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个流程有可核算的月度价值（工时节省/延期挽回/风险拦截，保供案例账本为记账模板）；覆盖轨：维持 14-16 个场景目标，但一律按"上线四档口径"如实标注档位（定义见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>＝三条同满足：价值线（≥3 流程月度价值+错配成本基线对照）、使用线（≥5 场景档3 且周活跃达标）、链路线（链 D 先手联动点 L4/L5 贯通）；不达标动作=收缩保三（链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三单数据准备与完整性校验：OCR 解析 U9C 应付单附件发票（配票时已上传，不经 SRM）、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发票源=U9C 应付单附件（配票时已上传）+ OCR 直读解析（不经 SRM）；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不再是卡口；OCR 选型 IT 7/12 定，准确率目标 ≥99%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财务/销售/运营低难度场景同步跟进（9月）→ 工程研发/质量启动（10月）→ 11月起六部门全面并行。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（含 OEM 波动预测子功能，原 SC9 并入）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>：三场景共同前提为 OEM 隔离层 Chroma 9/30 就绪。Paul 7/15 前约 IT 推动方案评审与责任人，9/30 为硬截止；</w:t>
      </w:r>
      <w:r>
        <w:rPr>
          <w:rFonts w:ascii="Microsoft YaHei" w:hAnsi="Microsoft YaHei" w:eastAsia="Microsoft YaHei" w:cs="Microsoft YaHei"/>
          <w:b/>
          <w:sz w:val="20"/>
        </w:rPr>
        <w:t>若 9/30 未就绪，R 系列整组顺延入 S3 缓冲消化</w:t>
      </w:r>
      <w:r>
        <w:rPr>
          <w:rFonts w:ascii="Microsoft YaHei" w:hAnsi="Microsoft YaHei" w:eastAsia="Microsoft YaHei" w:cs="Microsoft YaHei"/>
          <w:b w:val="0"/>
          <w:sz w:val="20"/>
        </w:rPr>
        <w:t>，S1 年底可达场景数从约 19 降至 16-17（仍在 14-16 目标区间，但工程研发部年底零上线）。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：工程研发部目前无 AI 对接人（陈忱为质量域），R1 10 月启动需研发侧接口人整理 OEM 需求文档库（分客户脱敏入库）、协调隔离配置。任务单格式参考《质量域AI对接人-首月任务单》。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年历史订单+砍单记录+预测复盘判例，场景本体 2027-02/03 不动）〔2026-07-06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（S1 场景 9 月启动的 8 周纪律 + 知识线牵头，六部门接口人至此配齐；任务单套用《质量域AI对接人-首月任务单》格式）——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：SC7①（原 SC5 引擎承接）+ O2/O1 收割落位 + 三部门并行。财务（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）。本阶段（2026 7-12月）核心节奏：7-8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v2）/销售启动 → 10 月六部门全面入轨（SC4、R1、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、S2）→ 11-12 月各部门稳步推进（O2 芯片预警子功能深化、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、R2/R3、O3、S3/S4，质量立项门禁②转入试点/趋稳），不再堆叠。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O2 芯片预警子功能全量上线（原 SC6 注销并入运营 O2，2026-07-06 v2.3）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R5 技术文档生成上线（R1–R4 已先期上线）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PPAP 审核助手准备（4 月上线，待 OEM 隔离层就绪）；IATF/体系（1 月已上线）稳定运行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8D①/立项门禁②/客诉分流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全部上线后深化运行（R5 已于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销售部 S1–S6 全量运行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全部上线后深化/全量运行（R4 1月、R5 2月已上线）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42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