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spacing w:after="180"/>
        <w:jc w:val="center"/>
      </w:pPr>
      <w:r>
        <w:rPr>
          <w:rFonts w:ascii="Microsoft YaHei" w:hAnsi="Microsoft YaHei" w:eastAsia="Microsoft YaHei" w:cs="Microsoft YaHei"/>
          <w:b/>
          <w:color w:val="000000"/>
          <w:sz w:val="36"/>
          <w:u w:val="none"/>
        </w:rPr>
        <w:t>财务部新需求PRD确认与首批样本</w:t>
      </w:r>
    </w:p>
    <w:p>
      <w:pPr>
        <w:widowControl/>
        <w:spacing w:after="60" w:line="259" w:lineRule="auto" w:before="0"/>
      </w:pPr>
      <w:r>
        <w:rPr>
          <w:rFonts w:ascii="Microsoft YaHei" w:hAnsi="Microsoft YaHei" w:eastAsia="Microsoft YaHei" w:cs="Microsoft YaHei"/>
          <w:b/>
          <w:color w:val="000000"/>
          <w:sz w:val="21"/>
          <w:u w:val="none"/>
        </w:rPr>
        <w:t>财务部#20 本次修订版</w:t>
      </w:r>
    </w:p>
    <w:p>
      <w:pPr>
        <w:widowControl/>
        <w:spacing w:after="60" w:line="259" w:lineRule="auto" w:before="0"/>
      </w:pPr>
      <w:r>
        <w:rPr>
          <w:rFonts w:ascii="Microsoft YaHei" w:hAnsi="Microsoft YaHei" w:eastAsia="Microsoft YaHei" w:cs="Microsoft YaHei"/>
          <w:b w:val="0"/>
          <w:color w:val="000000"/>
          <w:sz w:val="21"/>
          <w:u w:val="none"/>
        </w:rPr>
        <w:t>唐燕萍：</w:t>
      </w:r>
    </w:p>
    <w:p>
      <w:pPr>
        <w:widowControl/>
        <w:spacing w:after="60" w:line="259" w:lineRule="auto" w:before="0"/>
      </w:pPr>
      <w:r>
        <w:rPr>
          <w:rFonts w:ascii="Microsoft YaHei" w:hAnsi="Microsoft YaHei" w:eastAsia="Microsoft YaHei" w:cs="Microsoft YaHei"/>
          <w:b w:val="0"/>
          <w:color w:val="000000"/>
          <w:sz w:val="21"/>
          <w:u w:val="none"/>
        </w:rPr>
        <w:t>我们已逐条读完你2026年9月26日更新的需求文档，并整理成财务域PRD草案，作为业务确认和后续设计的共同依据。本文修订原第20封；此前发出的主件、附件及发送记录继续留存，旧问卷不再作为本轮必须先答的清单。</w:t>
      </w:r>
    </w:p>
    <w:p>
      <w:pPr>
        <w:widowControl/>
        <w:spacing w:after="60" w:line="259" w:lineRule="auto" w:before="0"/>
      </w:pPr>
      <w:r>
        <w:rPr>
          <w:rFonts w:ascii="Microsoft YaHei" w:hAnsi="Microsoft YaHei" w:eastAsia="Microsoft YaHei" w:cs="Microsoft YaHei"/>
          <w:b w:val="0"/>
          <w:color w:val="000000"/>
          <w:sz w:val="21"/>
          <w:u w:val="none"/>
        </w:rPr>
        <w:t>本信请你确认四项需求理解，再用两组最小真实材料收敛首批口径。先聚焦FI14、FI5；其余场景需求已在PRD保留，按各自依赖分批确认，不要求一次补齐全部材料。</w:t>
      </w:r>
    </w:p>
    <w:p>
      <w:pPr>
        <w:pStyle w:val="Heading2"/>
        <w:keepNext/>
        <w:widowControl/>
        <w:spacing w:before="200" w:after="100"/>
      </w:pPr>
      <w:r>
        <w:rPr>
          <w:rFonts w:ascii="Microsoft YaHei" w:hAnsi="Microsoft YaHei" w:eastAsia="Microsoft YaHei" w:cs="Microsoft YaHei"/>
          <w:b/>
          <w:color w:val="000000"/>
          <w:sz w:val="28"/>
          <w:u w:val="none"/>
        </w:rPr>
        <w:t>一 我们对新需求的理解</w:t>
      </w:r>
    </w:p>
    <w:p>
      <w:pPr>
        <w:widowControl/>
        <w:spacing w:after="60" w:line="259" w:lineRule="auto" w:before="0"/>
      </w:pPr>
      <w:r>
        <w:rPr>
          <w:rFonts w:ascii="Microsoft YaHei" w:hAnsi="Microsoft YaHei" w:eastAsia="Microsoft YaHei" w:cs="Microsoft YaHei"/>
          <w:b w:val="0"/>
          <w:color w:val="000000"/>
          <w:sz w:val="21"/>
          <w:u w:val="none"/>
        </w:rPr>
        <w:t>下表取材于你新文档描述的业务工作，核对我们拟采用的处理方式。它不是虚构单据或金额题；具体账龄、排序和报销金额将用你提供的真实样本再核，不以本表代替财务规则签认。</w:t>
      </w:r>
    </w:p>
    <w:p>
      <w:pPr>
        <w:widowControl/>
        <w:spacing w:after="60" w:line="259" w:lineRule="auto" w:before="0"/>
      </w:pPr>
      <w:r>
        <w:rPr>
          <w:rFonts w:ascii="Microsoft YaHei" w:hAnsi="Microsoft YaHei" w:eastAsia="Microsoft YaHei" w:cs="Microsoft YaHei"/>
          <w:b w:val="0"/>
          <w:color w:val="000000"/>
          <w:sz w:val="21"/>
          <w:u w:val="none"/>
        </w:rPr>
        <w:t>🔑 勾选栏怎么读（三个符号的确切含义，请先看这三行再动手）：</w:t>
      </w:r>
    </w:p>
    <w:p>
      <w:pPr>
        <w:widowControl/>
        <w:spacing w:after="60" w:line="259" w:lineRule="auto" w:before="0"/>
      </w:pPr>
      <w:r>
        <w:rPr>
          <w:rFonts w:ascii="Microsoft YaHei" w:hAnsi="Microsoft YaHei" w:eastAsia="Microsoft YaHei" w:cs="Microsoft YaHei"/>
          <w:b w:val="0"/>
          <w:color w:val="000000"/>
          <w:sz w:val="21"/>
          <w:u w:val="none"/>
        </w:rPr>
        <w:t>✅ ＝「拟改判定这一格填的结果是对的」—— 引擎以后就该这么判。</w:t>
      </w:r>
    </w:p>
    <w:p>
      <w:pPr>
        <w:widowControl/>
        <w:spacing w:after="60" w:line="259" w:lineRule="auto" w:before="0"/>
      </w:pPr>
      <w:r>
        <w:rPr>
          <w:rFonts w:ascii="Microsoft YaHei" w:hAnsi="Microsoft YaHei" w:eastAsia="Microsoft YaHei" w:cs="Microsoft YaHei"/>
          <w:b w:val="0"/>
          <w:color w:val="000000"/>
          <w:sz w:val="21"/>
          <w:u w:val="none"/>
        </w:rPr>
        <w:t>❌ ＝「拟改判定这一格填错了」—— 引擎不该这么判，但你不必写正确答案。</w:t>
      </w:r>
    </w:p>
    <w:p>
      <w:pPr>
        <w:widowControl/>
        <w:spacing w:after="60" w:line="259" w:lineRule="auto" w:before="0"/>
      </w:pPr>
      <w:r>
        <w:rPr>
          <w:rFonts w:ascii="Microsoft YaHei" w:hAnsi="Microsoft YaHei" w:eastAsia="Microsoft YaHei" w:cs="Microsoft YaHei"/>
          <w:b w:val="0"/>
          <w:color w:val="000000"/>
          <w:sz w:val="21"/>
          <w:u w:val="none"/>
        </w:rPr>
        <w:t>✏️ ＝「填错了，而且我知道该怎么判」—— 勾它并在后面写一句你认为的正确判法。</w:t>
      </w:r>
    </w:p>
    <w:p>
      <w:pPr>
        <w:widowControl/>
        <w:spacing w:after="60" w:line="259" w:lineRule="auto" w:before="0"/>
      </w:pPr>
      <w:r>
        <w:rPr>
          <w:rFonts w:ascii="Microsoft YaHei" w:hAnsi="Microsoft YaHei" w:eastAsia="Microsoft YaHei" w:cs="Microsoft YaHei"/>
          <w:b w:val="0"/>
          <w:color w:val="000000"/>
          <w:sz w:val="21"/>
          <w:u w:val="none"/>
        </w:rPr>
        <w:t>⇒ 三个符号评的都是最右边那列「拟改判定」，不是评「现状判定」。每行只勾一个。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"/>
        <w:gridCol w:w="1474"/>
        <w:gridCol w:w="1531"/>
        <w:gridCol w:w="3742"/>
        <w:gridCol w:w="680"/>
        <w:gridCol w:w="680"/>
        <w:gridCol w:w="1644"/>
      </w:tblGrid>
      <w:tr>
        <w:trPr>
          <w:tblHeader/>
          <w:cantSplit/>
        </w:trPr>
        <w:tc>
          <w:tcPr>
            <w:tcW w:type="dxa" w:w="3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9"/>
            <w:vAlign w:val="center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147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9"/>
            <w:vAlign w:val="center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新文档中的业务工作</w:t>
            </w:r>
          </w:p>
        </w:tc>
        <w:tc>
          <w:tcPr>
            <w:tcW w:type="dxa" w:w="153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9"/>
            <w:vAlign w:val="center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现状描述</w:t>
            </w:r>
          </w:p>
        </w:tc>
        <w:tc>
          <w:tcPr>
            <w:tcW w:type="dxa" w:w="374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9"/>
            <w:vAlign w:val="center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拟改判定</w:t>
            </w:r>
          </w:p>
        </w:tc>
        <w:tc>
          <w:tcPr>
            <w:tcW w:type="dxa" w:w="6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9"/>
            <w:vAlign w:val="center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✅ 这样判对</w:t>
            </w:r>
          </w:p>
        </w:tc>
        <w:tc>
          <w:tcPr>
            <w:tcW w:type="dxa" w:w="6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9"/>
            <w:vAlign w:val="center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❌ 这样判不对</w:t>
            </w:r>
          </w:p>
        </w:tc>
        <w:tc>
          <w:tcPr>
            <w:tcW w:type="dxa" w:w="16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9"/>
            <w:vAlign w:val="center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✏️ 应改判为（写一句）</w:t>
            </w:r>
          </w:p>
        </w:tc>
      </w:tr>
      <w:tr>
        <w:trPr>
          <w:cantSplit/>
        </w:trPr>
        <w:tc>
          <w:tcPr>
            <w:tcW w:type="dxa" w:w="3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1</w:t>
            </w:r>
          </w:p>
        </w:tc>
        <w:tc>
          <w:tcPr>
            <w:tcW w:type="dxa" w:w="147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FI14账龄与排款</w:t>
            </w:r>
          </w:p>
        </w:tc>
        <w:tc>
          <w:tcPr>
            <w:tcW w:type="dxa" w:w="153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标准维度有限，手工编计划</w:t>
            </w:r>
          </w:p>
        </w:tc>
        <w:tc>
          <w:tcPr>
            <w:tcW w:type="dxa" w:w="374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复用U9C及FI2/FI3，优先做四维账龄、付款计划草稿和画像；财务审核后走原付款流程</w:t>
            </w:r>
          </w:p>
        </w:tc>
        <w:tc>
          <w:tcPr>
            <w:tcW w:type="dxa" w:w="6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spacing w:before="20" w:after="20" w:line="264" w:lineRule="auto"/>
              <w:jc w:val="center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1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6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spacing w:before="20" w:after="20" w:line="264" w:lineRule="auto"/>
              <w:jc w:val="center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2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6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spacing w:before="20" w:after="20" w:line="264" w:lineRule="auto"/>
              <w:jc w:val="left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3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 xml:space="preserve"> 修改：</w:t>
            </w:r>
          </w:p>
        </w:tc>
      </w:tr>
      <w:tr>
        <w:trPr>
          <w:cantSplit/>
        </w:trPr>
        <w:tc>
          <w:tcPr>
            <w:tcW w:type="dxa" w:w="3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B"/>
            <w:vAlign w:val="center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2</w:t>
            </w:r>
          </w:p>
        </w:tc>
        <w:tc>
          <w:tcPr>
            <w:tcW w:type="dxa" w:w="147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B"/>
            <w:vAlign w:val="center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FI5报销初审</w:t>
            </w:r>
          </w:p>
        </w:tc>
        <w:tc>
          <w:tcPr>
            <w:tcW w:type="dxa" w:w="153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B"/>
            <w:vAlign w:val="center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你提出企微实现</w:t>
            </w:r>
          </w:p>
        </w:tc>
        <w:tc>
          <w:tcPr>
            <w:tcW w:type="dxa" w:w="374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B"/>
            <w:vAlign w:val="center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企微提交，票据/政策/预算初审交财务；审批主源及U9C分工用真实流程确认</w:t>
            </w:r>
          </w:p>
        </w:tc>
        <w:tc>
          <w:tcPr>
            <w:tcW w:type="dxa" w:w="6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B"/>
            <w:vAlign w:val="center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spacing w:before="20" w:after="20" w:line="264" w:lineRule="auto"/>
              <w:jc w:val="center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4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6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B"/>
            <w:vAlign w:val="center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spacing w:before="20" w:after="20" w:line="264" w:lineRule="auto"/>
              <w:jc w:val="center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5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6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B"/>
            <w:vAlign w:val="center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spacing w:before="20" w:after="20" w:line="264" w:lineRule="auto"/>
              <w:jc w:val="left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6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 xml:space="preserve"> 修改：</w:t>
            </w:r>
          </w:p>
        </w:tc>
      </w:tr>
      <w:tr>
        <w:trPr>
          <w:cantSplit/>
        </w:trPr>
        <w:tc>
          <w:tcPr>
            <w:tcW w:type="dxa" w:w="3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3</w:t>
            </w:r>
          </w:p>
        </w:tc>
        <w:tc>
          <w:tcPr>
            <w:tcW w:type="dxa" w:w="147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FI7/11/12预算</w:t>
            </w:r>
          </w:p>
        </w:tc>
        <w:tc>
          <w:tcPr>
            <w:tcW w:type="dxa" w:w="153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部门、项目、年度各有问题</w:t>
            </w:r>
          </w:p>
        </w:tc>
        <w:tc>
          <w:tcPr>
            <w:tcW w:type="dxa" w:w="374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FI7非项目费用；FI11项目阶段/结项；FI12年度编制/基线/版本，共用预算主源</w:t>
            </w:r>
          </w:p>
        </w:tc>
        <w:tc>
          <w:tcPr>
            <w:tcW w:type="dxa" w:w="6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spacing w:before="20" w:after="20" w:line="264" w:lineRule="auto"/>
              <w:jc w:val="center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7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6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spacing w:before="20" w:after="20" w:line="264" w:lineRule="auto"/>
              <w:jc w:val="center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8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6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spacing w:before="20" w:after="20" w:line="264" w:lineRule="auto"/>
              <w:jc w:val="left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9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 xml:space="preserve"> 修改：</w:t>
            </w:r>
          </w:p>
        </w:tc>
      </w:tr>
      <w:tr>
        <w:trPr>
          <w:cantSplit/>
        </w:trPr>
        <w:tc>
          <w:tcPr>
            <w:tcW w:type="dxa" w:w="3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B"/>
            <w:vAlign w:val="center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4</w:t>
            </w:r>
          </w:p>
        </w:tc>
        <w:tc>
          <w:tcPr>
            <w:tcW w:type="dxa" w:w="147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B"/>
            <w:vAlign w:val="center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FI8/15/16预测与核算</w:t>
            </w:r>
          </w:p>
        </w:tc>
        <w:tc>
          <w:tcPr>
            <w:tcW w:type="dxa" w:w="153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B"/>
            <w:vAlign w:val="center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六月预测、收款、合并已补需求</w:t>
            </w:r>
          </w:p>
        </w:tc>
        <w:tc>
          <w:tcPr>
            <w:tcW w:type="dxa" w:w="374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B"/>
            <w:vAlign w:val="center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spacing w:before="20" w:after="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FI8未来1–6月；FI15收入核销、FI16合并需求保留，先出草稿，规则和结果由财务确认</w:t>
            </w:r>
          </w:p>
        </w:tc>
        <w:tc>
          <w:tcPr>
            <w:tcW w:type="dxa" w:w="6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B"/>
            <w:vAlign w:val="center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spacing w:before="20" w:after="20" w:line="264" w:lineRule="auto"/>
              <w:jc w:val="center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0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6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B"/>
            <w:vAlign w:val="center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spacing w:before="20" w:after="20" w:line="264" w:lineRule="auto"/>
              <w:jc w:val="center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1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6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B"/>
            <w:vAlign w:val="center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spacing w:before="20" w:after="20" w:line="264" w:lineRule="auto"/>
              <w:jc w:val="left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2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 xml:space="preserve"> 修改：</w:t>
            </w:r>
          </w:p>
        </w:tc>
      </w:tr>
    </w:tbl>
    <w:p>
      <w:pPr>
        <w:widowControl/>
        <w:spacing w:after="60" w:line="259" w:lineRule="auto" w:before="0"/>
      </w:pPr>
    </w:p>
    <w:p>
      <w:pPr>
        <w:widowControl/>
        <w:spacing w:after="60" w:line="259" w:lineRule="auto" w:before="0"/>
      </w:pPr>
      <w:r>
        <w:rPr>
          <w:rFonts w:ascii="Microsoft YaHei" w:hAnsi="Microsoft YaHei" w:eastAsia="Microsoft YaHei" w:cs="Microsoft YaHei"/>
          <w:b w:val="0"/>
          <w:color w:val="000000"/>
          <w:sz w:val="21"/>
          <w:u w:val="none"/>
        </w:rPr>
        <w:t>据此反推的范围：首批拟覆盖FI14账龄、付款计划草稿和供应商付款画像，以及FI5企微报销初审、风险提示和部门费用分析。FI2/FI3保持现有业务职责，必要时衔接结果；FI10及新增FI11–FI16后续分批推进。按你的说明，FI1/FI4/FI6/FI9继续暂缓。</w:t>
      </w:r>
    </w:p>
    <w:p>
      <w:pPr>
        <w:pStyle w:val="Heading2"/>
        <w:keepNext/>
        <w:widowControl/>
        <w:spacing w:before="200" w:after="100"/>
      </w:pPr>
      <w:r>
        <w:rPr>
          <w:rFonts w:ascii="Microsoft YaHei" w:hAnsi="Microsoft YaHei" w:eastAsia="Microsoft YaHei" w:cs="Microsoft YaHei"/>
          <w:b/>
          <w:color w:val="000000"/>
          <w:sz w:val="28"/>
          <w:u w:val="none"/>
        </w:rPr>
        <w:t>二 首批请用两组最小真实材料定口径</w:t>
      </w:r>
    </w:p>
    <w:p>
      <w:pPr>
        <w:widowControl/>
        <w:spacing w:after="60" w:line="259" w:lineRule="auto" w:before="0"/>
      </w:pPr>
      <w:r>
        <w:rPr>
          <w:rFonts w:ascii="Microsoft YaHei" w:hAnsi="Microsoft YaHei" w:eastAsia="Microsoft YaHei" w:cs="Microsoft YaHei"/>
          <w:b/>
          <w:color w:val="000000"/>
          <w:sz w:val="21"/>
          <w:u w:val="none"/>
        </w:rPr>
        <w:t>5 FI14 用一份你已编过的付款计划核对。</w:t>
      </w:r>
      <w:r>
        <w:rPr>
          <w:rFonts w:ascii="Microsoft YaHei" w:hAnsi="Microsoft YaHei" w:eastAsia="Microsoft YaHei" w:cs="Microsoft YaHei"/>
          <w:b w:val="0"/>
          <w:color w:val="000000"/>
          <w:sz w:val="21"/>
          <w:u w:val="none"/>
        </w:rPr>
        <w:t xml:space="preserve"> 请提供该计划对应的一期未结应付明细、实际付款记录、相关合同付款条款及U9C标准账龄报表；供应商和账号可脱敏，资金只需该期允许使用的额度与时点，不索取网银凭证。</w:t>
      </w:r>
    </w:p>
    <w:p>
      <w:pPr>
        <w:widowControl/>
        <w:spacing w:after="60" w:line="259" w:lineRule="auto" w:before="0"/>
      </w:pPr>
      <w:r>
        <w:rPr>
          <w:rFonts w:ascii="Microsoft YaHei" w:hAnsi="Microsoft YaHei" w:eastAsia="Microsoft YaHei" w:cs="Microsoft YaHei"/>
          <w:b w:val="0"/>
          <w:color w:val="000000"/>
          <w:sz w:val="21"/>
          <w:u w:val="none"/>
        </w:rPr>
        <w:t>我们会把同一批账分组结果和排款顺序摆在原结果旁，请你批改：账龄按哪个业务日期起算、30/60等边界如何落桶、部分付款/红冲/预付怎样体现、哪些必须付款或允许拆付，以及资金不足时优先保哪类付款。供应商付款周期、逾期率和折扣利用率也按这批记录核分母，不替财务定权重或“最优”标准。</w:t>
      </w:r>
    </w:p>
    <w:p>
      <w:pPr>
        <w:widowControl/>
        <w:spacing w:after="60" w:line="259" w:lineRule="auto" w:before="0"/>
      </w:pPr>
      <w:r>
        <w:rPr>
          <w:rFonts w:ascii="Microsoft YaHei" w:hAnsi="Microsoft YaHei" w:eastAsia="Microsoft YaHei" w:cs="Microsoft YaHei"/>
          <w:b/>
          <w:color w:val="000000"/>
          <w:sz w:val="21"/>
          <w:u w:val="none"/>
        </w:rPr>
        <w:t>6 FI5 用现行企微流程和三笔已处理报销核对。</w:t>
      </w:r>
      <w:r>
        <w:rPr>
          <w:rFonts w:ascii="Microsoft YaHei" w:hAnsi="Microsoft YaHei" w:eastAsia="Microsoft YaHei" w:cs="Microsoft YaHei"/>
          <w:b w:val="0"/>
          <w:color w:val="000000"/>
          <w:sz w:val="21"/>
          <w:u w:val="none"/>
        </w:rPr>
        <w:t xml:space="preserve"> 请提供正常通过、超标准、退回补件各一笔脱敏申请及处理结果，连同现行差旅/招待制度版本、相应预算余额或台账样例；保留理解规则所需的职级、人数、费用日期和明细即可，不索取全量个人资料。</w:t>
      </w:r>
    </w:p>
    <w:p>
      <w:pPr>
        <w:widowControl/>
        <w:spacing w:after="60" w:line="259" w:lineRule="auto" w:before="0"/>
      </w:pPr>
      <w:r>
        <w:rPr>
          <w:rFonts w:ascii="Microsoft YaHei" w:hAnsi="Microsoft YaHei" w:eastAsia="Microsoft YaHei" w:cs="Microsoft YaHei"/>
          <w:b w:val="0"/>
          <w:color w:val="000000"/>
          <w:sz w:val="21"/>
          <w:u w:val="none"/>
        </w:rPr>
        <w:t>我们会按原处理结果逐项核：企微与U9C各负责哪一步、政策和预算余额从哪份有效记录取、超预算是在初审待人工还是正式流程阻断、哪些必须由财务最终确认。识别票据字段和验证票据真伪会分别展示；拿不到验真结果不会标成已验真。</w:t>
      </w:r>
    </w:p>
    <w:p>
      <w:pPr>
        <w:widowControl/>
        <w:spacing w:after="60" w:line="259" w:lineRule="auto" w:before="0"/>
      </w:pPr>
      <w:r>
        <w:rPr>
          <w:rFonts w:ascii="Microsoft YaHei" w:hAnsi="Microsoft YaHei" w:eastAsia="Microsoft YaHei" w:cs="Microsoft YaHei"/>
          <w:b w:val="0"/>
          <w:color w:val="000000"/>
          <w:sz w:val="21"/>
          <w:u w:val="none"/>
        </w:rPr>
        <w:t>材料可沿既有企微回件通道提供，无需另写说明文档；如缺其中一类，说明现有替代报表即可。我们先核数据、再把真实案例与拟议判定回给你，届时只需勾选或改一句，不用重新整理长问卷。判据、金额、阈值和审批口径都不因未回复而默认生效。</w:t>
      </w:r>
    </w:p>
    <w:p>
      <w:pPr>
        <w:pStyle w:val="Heading2"/>
        <w:keepNext/>
        <w:widowControl/>
        <w:spacing w:before="200" w:after="100"/>
      </w:pPr>
      <w:r>
        <w:rPr>
          <w:rFonts w:ascii="Microsoft YaHei" w:hAnsi="Microsoft YaHei" w:eastAsia="Microsoft YaHei" w:cs="Microsoft YaHei"/>
          <w:b/>
          <w:color w:val="000000"/>
          <w:sz w:val="28"/>
          <w:u w:val="none"/>
        </w:rPr>
        <w:t>三 下一步</w:t>
      </w:r>
    </w:p>
    <w:p>
      <w:pPr>
        <w:widowControl/>
        <w:spacing w:after="60" w:line="259" w:lineRule="auto" w:before="0"/>
      </w:pPr>
      <w:r>
        <w:rPr>
          <w:rFonts w:ascii="Microsoft YaHei" w:hAnsi="Microsoft YaHei" w:eastAsia="Microsoft YaHei" w:cs="Microsoft YaHei"/>
          <w:b w:val="0"/>
          <w:color w:val="000000"/>
          <w:sz w:val="21"/>
          <w:u w:val="none"/>
        </w:rPr>
        <w:t>本次先确认PRD中的业务理解、首批范围和两组样本。样本核对后，我们形成明确的财务口径及验收案例，再按项目流程准备各场景设计和实施审批。新人培训/权限、项目阶段自动释放、收入/核销、合并报表等后续关键问题已列在PRD，不提前转成自动批准、记账或付款功能。</w:t>
      </w:r>
    </w:p>
    <w:p>
      <w:pPr>
        <w:widowControl/>
        <w:spacing w:after="60" w:line="259" w:lineRule="auto" w:before="0"/>
      </w:pPr>
      <w:r>
        <w:rPr>
          <w:rFonts w:ascii="Microsoft YaHei" w:hAnsi="Microsoft YaHei" w:eastAsia="Microsoft YaHei" w:cs="Microsoft YaHei"/>
          <w:b w:val="0"/>
          <w:color w:val="000000"/>
          <w:sz w:val="21"/>
          <w:u w:val="none"/>
        </w:rPr>
        <w:t>本信共六项待确认，其中第5、6项各是一组首批口径与样本包，内部口径可以逐项确认；后续预算、答疑和核算的四个确认包留在PRD，未关闭。没有新增完成日期或开发工期承诺。你此次整理的预算流程、五类项目盲区和集团合并业务描述已作为财务域需求来源保留，后续成果会继续关联你的需求版本和确认记录。</w:t>
      </w:r>
    </w:p>
    <w:p>
      <w:pPr>
        <w:widowControl/>
        <w:spacing w:after="60" w:line="259" w:lineRule="auto" w:before="0"/>
      </w:pPr>
      <w:r>
        <w:rPr>
          <w:rFonts w:ascii="Microsoft YaHei" w:hAnsi="Microsoft YaHei" w:eastAsia="Microsoft YaHei" w:cs="Microsoft YaHei"/>
          <w:b w:val="0"/>
          <w:color w:val="000000"/>
          <w:sz w:val="21"/>
          <w:u w:val="none"/>
        </w:rPr>
        <w:t>有问题随时找我。</w:t>
      </w:r>
    </w:p>
    <w:p>
      <w:pPr>
        <w:widowControl/>
        <w:spacing w:after="60" w:line="259" w:lineRule="auto" w:before="0"/>
      </w:pPr>
      <w:r>
        <w:rPr>
          <w:rFonts w:ascii="Microsoft YaHei" w:hAnsi="Microsoft YaHei" w:eastAsia="Microsoft YaHei" w:cs="Microsoft YaHei"/>
          <w:b/>
          <w:color w:val="000000"/>
          <w:sz w:val="21"/>
          <w:u w:val="none"/>
        </w:rPr>
        <w:t>OPVP Shao Peishen</w:t>
      </w:r>
    </w:p>
    <w:p>
      <w:pPr>
        <w:widowControl/>
        <w:spacing w:after="60" w:line="259" w:lineRule="auto" w:before="0"/>
      </w:pPr>
      <w:r>
        <w:rPr>
          <w:rFonts w:ascii="Microsoft YaHei" w:hAnsi="Microsoft YaHei" w:eastAsia="Microsoft YaHei" w:cs="Microsoft YaHei"/>
          <w:b/>
          <w:color w:val="000000"/>
          <w:sz w:val="21"/>
          <w:u w:val="none"/>
        </w:rPr>
        <w:t>随附审阅资料</w:t>
      </w:r>
      <w:r>
        <w:rPr>
          <w:rFonts w:ascii="Microsoft YaHei" w:hAnsi="Microsoft YaHei" w:eastAsia="Microsoft YaHei" w:cs="Microsoft YaHei"/>
          <w:b w:val="0"/>
          <w:color w:val="000000"/>
          <w:sz w:val="21"/>
          <w:u w:val="none"/>
        </w:rPr>
        <w:t>：财务域PRD《业务需求与验收基线》v0.2。主文件在项目</w:t>
      </w:r>
      <w:r>
        <w:rPr>
          <w:rFonts w:ascii="Consolas" w:hAnsi="Consolas" w:eastAsia="Consolas" w:cs="Consolas"/>
          <w:b w:val="0"/>
          <w:color w:val="000000"/>
          <w:sz w:val="21"/>
          <w:u w:val="none"/>
        </w:rPr>
        <w:t>1-转型规划/</w:t>
      </w:r>
      <w:r>
        <w:rPr>
          <w:rFonts w:ascii="Microsoft YaHei" w:hAnsi="Microsoft YaHei" w:eastAsia="Microsoft YaHei" w:cs="Microsoft YaHei"/>
          <w:b w:val="0"/>
          <w:color w:val="000000"/>
          <w:sz w:val="21"/>
          <w:u w:val="none"/>
        </w:rPr>
        <w:t>，可先只看场景划界、FI14/FI5流程、首批数据、验收题和确认项；首批范围已确定，财务口径待确认，业务实施仍按后续审批推进。此信Word与Markdown内容一致。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907" w:bottom="96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000000"/>
        <w:sz w:val="16"/>
      </w:rPr>
      <w:t>财务部第20封 2026-10-08修订版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000000"/>
        <w:sz w:val="16"/>
      </w:rPr>
      <w:t>财务部新需求PRD确认与首批样本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60"/>
    </w:pPr>
    <w:rPr>
      <w:rFonts w:ascii="Microsoft YaHei" w:hAnsi="Microsoft YaHei" w:eastAsia="Microsoft YaHei" w:cs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000000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