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w:t>
      </w:r>
    </w:p>
    <w:p>
      <w:pPr>
        <w:pStyle w:val="Subtitle"/>
      </w:pPr>
      <w:r>
        <w:t>GridForge Spreadsheet V2 | Editing, calculation and collaboration</w:t>
      </w:r>
    </w:p>
    <w:p>
      <w:pPr>
        <w:pStyle w:val="Heading1"/>
      </w:pPr>
      <w:r>
        <w:t>1. The task</w:t>
      </w:r>
    </w:p>
    <w:p>
      <w:r>
        <w:t>GridForge is a full-stack spreadsheet for the Northwind Operations Plan. Users edit a custom grid, build formulas by keyboard and mouse, move rectangular data, inspect revision history, and collaborate through separate editing sessions. A Node.js/Express backend and SQLite store the workbook, revisions and attribution. The seeded Plan sheet includes regional planning data, formulas and distant-row anchors.</w:t>
      </w:r>
    </w:p>
    <w:p>
      <w:r>
        <w:t>The implementation challenge is not just obtaining a correct number. Grid focus, raw formula text, selected ranges, undo history, saved revisions and concurrent drafts must remain consistent as users alternate between mouse, keyboard and server-backed actions.</w:t>
      </w:r>
    </w:p>
    <w:p>
      <w:pPr>
        <w:pStyle w:val="Heading1"/>
      </w:pPr>
      <w:r>
        <w:t>2. What was evaluated</w:t>
      </w:r>
    </w:p>
    <w:p>
      <w:r>
        <w:t>The suite contains 44 criteria: 2 Render, 2 Constraints, 36 Functional and 4 Polish. Render and Constraints are hard gates. With both gates passed, reward is 60% Functional plus 40% Polish. Functional criteria use a weighted mean with total weight 28; Polish has four equally weighted criteria, including one five-point visual-hierarchy criterion. A partial visual rating is not a full pass. Codex with openai/gpt-5.6-luna, high reasoning effort and temperature 0 judges browser interactions.</w:t>
      </w:r>
    </w:p>
    <w:p>
      <w:r>
        <w:t>The seeded workbook makes initial checks repeatable. Most workflows establish their own test values, perform a named UI action, and inspect both the target cells and unchanged outside controls. API safety checks clone an observed real save and compare workbook/revision state after rejected requests. Restart checks use the trusted verifier lifecycle helper and read back persisted data.</w:t>
      </w:r>
    </w:p>
    <w:p>
      <w:pPr>
        <w:pStyle w:val="Heading1"/>
      </w:pPr>
      <w:r>
        <w:t>3. Results</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cantSplit/>
        </w:trPr>
        <w:tc>
          <w:tcPr>
            <w:tcW w:type="dxa" w:w="2509"/>
          </w:tcPr>
          <w:p>
            <w:pPr>
              <w:spacing w:after="80"/>
            </w:pPr>
            <w:r>
              <w:rPr>
                <w:sz w:val="18"/>
              </w:rPr>
              <w:t>Run</w:t>
            </w:r>
          </w:p>
        </w:tc>
        <w:tc>
          <w:tcPr>
            <w:tcW w:type="dxa" w:w="2509"/>
          </w:tcPr>
          <w:p>
            <w:pPr>
              <w:spacing w:after="80"/>
            </w:pPr>
            <w:r>
              <w:rPr>
                <w:sz w:val="18"/>
              </w:rPr>
              <w:t>Functional</w:t>
            </w:r>
          </w:p>
        </w:tc>
        <w:tc>
          <w:tcPr>
            <w:tcW w:type="dxa" w:w="2509"/>
          </w:tcPr>
          <w:p>
            <w:pPr>
              <w:spacing w:after="80"/>
            </w:pPr>
            <w:r>
              <w:rPr>
                <w:sz w:val="18"/>
              </w:rPr>
              <w:t>Polish</w:t>
            </w:r>
          </w:p>
        </w:tc>
        <w:tc>
          <w:tcPr>
            <w:tcW w:type="dxa" w:w="2509"/>
          </w:tcPr>
          <w:p>
            <w:pPr>
              <w:spacing w:after="80"/>
            </w:pPr>
            <w:r>
              <w:rPr>
                <w:sz w:val="18"/>
              </w:rPr>
              <w:t>Final reward</w:t>
            </w:r>
          </w:p>
        </w:tc>
      </w:tr>
      <w:tr>
        <w:trPr>
          <w:cantSplit/>
        </w:trPr>
        <w:tc>
          <w:tcPr>
            <w:tcW w:type="dxa" w:w="2509"/>
          </w:tcPr>
          <w:p>
            <w:pPr>
              <w:spacing w:after="80"/>
            </w:pPr>
            <w:r>
              <w:rPr>
                <w:sz w:val="18"/>
              </w:rPr>
              <w:t>Oracle</w:t>
            </w:r>
          </w:p>
        </w:tc>
        <w:tc>
          <w:tcPr>
            <w:tcW w:type="dxa" w:w="2509"/>
          </w:tcPr>
          <w:p>
            <w:pPr>
              <w:spacing w:after="80"/>
            </w:pPr>
            <w:r>
              <w:rPr>
                <w:sz w:val="18"/>
              </w:rPr>
              <w:t>0.9241</w:t>
            </w:r>
          </w:p>
        </w:tc>
        <w:tc>
          <w:tcPr>
            <w:tcW w:type="dxa" w:w="2509"/>
          </w:tcPr>
          <w:p>
            <w:pPr>
              <w:spacing w:after="80"/>
            </w:pPr>
            <w:r>
              <w:rPr>
                <w:sz w:val="18"/>
              </w:rPr>
              <w:t>1.0000</w:t>
            </w:r>
          </w:p>
        </w:tc>
        <w:tc>
          <w:tcPr>
            <w:tcW w:type="dxa" w:w="2509"/>
          </w:tcPr>
          <w:p>
            <w:pPr>
              <w:spacing w:after="80"/>
            </w:pPr>
            <w:r>
              <w:rPr>
                <w:sz w:val="18"/>
              </w:rPr>
              <w:t>0.9545</w:t>
            </w:r>
          </w:p>
        </w:tc>
      </w:tr>
      <w:tr>
        <w:trPr>
          <w:cantSplit/>
        </w:trPr>
        <w:tc>
          <w:tcPr>
            <w:tcW w:type="dxa" w:w="2509"/>
          </w:tcPr>
          <w:p>
            <w:pPr>
              <w:spacing w:after="80"/>
            </w:pPr>
            <w:r>
              <w:rPr>
                <w:sz w:val="18"/>
              </w:rPr>
              <w:t>GPT-5.4-mini</w:t>
            </w:r>
          </w:p>
        </w:tc>
        <w:tc>
          <w:tcPr>
            <w:tcW w:type="dxa" w:w="2509"/>
          </w:tcPr>
          <w:p>
            <w:pPr>
              <w:spacing w:after="80"/>
            </w:pPr>
            <w:r>
              <w:rPr>
                <w:sz w:val="18"/>
              </w:rPr>
              <w:t>0.3661</w:t>
            </w:r>
          </w:p>
        </w:tc>
        <w:tc>
          <w:tcPr>
            <w:tcW w:type="dxa" w:w="2509"/>
          </w:tcPr>
          <w:p>
            <w:pPr>
              <w:spacing w:after="80"/>
            </w:pPr>
            <w:r>
              <w:rPr>
                <w:sz w:val="18"/>
              </w:rPr>
              <w:t>0.1250</w:t>
            </w:r>
          </w:p>
        </w:tc>
        <w:tc>
          <w:tcPr>
            <w:tcW w:type="dxa" w:w="2509"/>
          </w:tcPr>
          <w:p>
            <w:pPr>
              <w:spacing w:after="80"/>
            </w:pPr>
            <w:r>
              <w:rPr>
                <w:sz w:val="18"/>
              </w:rPr>
              <w:t>0.2697</w:t>
            </w:r>
          </w:p>
        </w:tc>
      </w:tr>
      <w:tr>
        <w:trPr>
          <w:cantSplit/>
        </w:trPr>
        <w:tc>
          <w:tcPr>
            <w:tcW w:type="dxa" w:w="2509"/>
          </w:tcPr>
          <w:p>
            <w:pPr>
              <w:spacing w:after="80"/>
            </w:pPr>
            <w:r>
              <w:rPr>
                <w:sz w:val="18"/>
              </w:rPr>
              <w:t>Claude Haiku 4.5</w:t>
            </w:r>
          </w:p>
        </w:tc>
        <w:tc>
          <w:tcPr>
            <w:tcW w:type="dxa" w:w="2509"/>
          </w:tcPr>
          <w:p>
            <w:pPr>
              <w:spacing w:after="80"/>
            </w:pPr>
            <w:r>
              <w:rPr>
                <w:sz w:val="18"/>
              </w:rPr>
              <w:t>0.0446</w:t>
            </w:r>
          </w:p>
        </w:tc>
        <w:tc>
          <w:tcPr>
            <w:tcW w:type="dxa" w:w="2509"/>
          </w:tcPr>
          <w:p>
            <w:pPr>
              <w:spacing w:after="80"/>
            </w:pPr>
            <w:r>
              <w:rPr>
                <w:sz w:val="18"/>
              </w:rPr>
              <w:t>0.0000</w:t>
            </w:r>
          </w:p>
        </w:tc>
        <w:tc>
          <w:tcPr>
            <w:tcW w:type="dxa" w:w="2509"/>
          </w:tcPr>
          <w:p>
            <w:pPr>
              <w:spacing w:after="80"/>
            </w:pPr>
            <w:r>
              <w:rPr>
                <w:sz w:val="18"/>
              </w:rPr>
              <w:t>0.0268</w:t>
            </w:r>
          </w:p>
        </w:tc>
      </w:tr>
      <w:tr>
        <w:trPr>
          <w:cantSplit/>
        </w:trPr>
        <w:tc>
          <w:tcPr>
            <w:tcW w:type="dxa" w:w="2509"/>
          </w:tcPr>
          <w:p>
            <w:pPr>
              <w:spacing w:after="80"/>
            </w:pPr>
            <w:r>
              <w:rPr>
                <w:sz w:val="18"/>
              </w:rPr>
              <w:t>Gemini 3.7 Flash</w:t>
            </w:r>
          </w:p>
        </w:tc>
        <w:tc>
          <w:tcPr>
            <w:tcW w:type="dxa" w:w="2509"/>
          </w:tcPr>
          <w:p>
            <w:pPr>
              <w:spacing w:after="80"/>
            </w:pPr>
            <w:r>
              <w:rPr>
                <w:sz w:val="18"/>
              </w:rPr>
              <w:t>0.6830</w:t>
            </w:r>
          </w:p>
        </w:tc>
        <w:tc>
          <w:tcPr>
            <w:tcW w:type="dxa" w:w="2509"/>
          </w:tcPr>
          <w:p>
            <w:pPr>
              <w:spacing w:after="80"/>
            </w:pPr>
            <w:r>
              <w:rPr>
                <w:sz w:val="18"/>
              </w:rPr>
              <w:t>0.6875</w:t>
            </w:r>
          </w:p>
        </w:tc>
        <w:tc>
          <w:tcPr>
            <w:tcW w:type="dxa" w:w="2509"/>
          </w:tcPr>
          <w:p>
            <w:pPr>
              <w:spacing w:after="80"/>
            </w:pPr>
            <w:r>
              <w:rPr>
                <w:sz w:val="18"/>
              </w:rPr>
              <w:t>0.6848</w:t>
            </w:r>
          </w:p>
        </w:tc>
      </w:tr>
    </w:tbl>
    <w:p/>
    <w:p>
      <w:r>
        <w:t>All four passed Render and Constraints. Oracle's 0.9545 meets the submission owner's 0.95 acceptance threshold; it passed 42/44 criteria, with two Functional losses in edit-commit navigation and reverse drag. GPT and Gemini are inside the general 0.1-0.7 target range. Haiku is covered by the recorded exception allowing lower genuine graded scores. The NOP control remained at zero.</w:t>
      </w:r>
    </w:p>
    <w:p>
      <w:pPr>
        <w:pStyle w:val="Heading1"/>
      </w:pPr>
      <w:r>
        <w:t>4. Distinct implementation outcomes</w:t>
      </w:r>
    </w:p>
    <w:p>
      <w:pPr>
        <w:pStyle w:val="Heading2"/>
      </w:pPr>
      <w:r>
        <w:t>GPT-5.4-mini</w:t>
      </w:r>
    </w:p>
    <w:p>
      <w:r>
        <w:t>The model passed 21 of 36 Functional checks, including several calculation, persistence and data-editing checks. Recorded losses concentrate on formula-entry interactions, range selection, fill, collaboration and request validation. Polish scored 0.1250: the visual-hierarchy criterion received partial credit while the other three criteria received zero.</w:t>
      </w:r>
    </w:p>
    <w:p>
      <w:pPr>
        <w:pStyle w:val="Heading2"/>
      </w:pPr>
      <w:r>
        <w:t>Claude Haiku 4.5</w:t>
      </w:r>
    </w:p>
    <w:p>
      <w:r>
        <w:t>The model passed both entry gates but only 4 of 36 Functional checks. The judge recorded arithmetic/formula limitations, reference-click failures, stale dependent values, selection and clipboard problems, and invalid-save mutation. Several later checks were not completed. The Polish judge reported the grid outside the usable viewport and awarded zero across that dimension.</w:t>
      </w:r>
    </w:p>
    <w:p>
      <w:pPr>
        <w:pStyle w:val="Heading2"/>
      </w:pPr>
      <w:r>
        <w:t>Gemini 3.7 Flash</w:t>
      </w:r>
    </w:p>
    <w:p>
      <w:r>
        <w:t>The strongest scored model passed 26 of 36 Functional checks. It handled the recorded formula-entry criteria, while losing credit for navigation, attribution, numeric fill, find/replace, name-box validation, concurrent saves, presence and request/session checks. Polish included two full passes, a 0.75 visual-hierarchy rating and a keyboard-focus failure.</w:t>
      </w:r>
    </w:p>
    <w:p>
      <w:pPr>
        <w:pStyle w:val="Heading1"/>
      </w:pPr>
      <w:r>
        <w:t>5. Connected behavior revealed by the tests</w:t>
      </w:r>
    </w:p>
    <w:p>
      <w:pPr>
        <w:pStyle w:val="Heading2"/>
      </w:pPr>
      <w:r>
        <w:t>Formula entry is separate from formula evaluation</w:t>
      </w:r>
    </w:p>
    <w:p>
      <w:r>
        <w:t>GPT passed the raw-formula/precedence criterion but lost other formula-entry checks. The judge reported a middle-of-formula edit yielding =B*C22+10 rather than =B2*C2+10, as well as malformed alternating reference text. This separates parser capability from preserving caret and reference state through real interaction. Gemini received full credit on the corresponding entry checks in its rollout.</w:t>
      </w:r>
    </w:p>
    <w:p>
      <w:pPr>
        <w:pStyle w:val="Heading2"/>
      </w:pPr>
      <w:r>
        <w:t>A visible draft is not the same as a durable save</w:t>
      </w:r>
    </w:p>
    <w:p>
      <w:r>
        <w:t>For GPT and Gemini, the concurrent-edit check observed some clean remote updates and local-draft preservation, but final readback found T20 blank and the same-cell conflict checkpoints were not satisfied. The chain therefore evaluated more than whether text appeared briefly: the draft had to survive incoming changes, commit correctly and remain stored.</w:t>
      </w:r>
    </w:p>
    <w:p>
      <w:pPr>
        <w:pStyle w:val="Heading2"/>
      </w:pPr>
      <w:r>
        <w:t>Rejected requests must preserve data</w:t>
      </w:r>
    </w:p>
    <w:p>
      <w:r>
        <w:t>The recorded validation matrices included malformed saves that received success responses, server errors, or changed protected state. Gemini's workbook-identity check reported a top-level identity probe accepted with revision advancement. These results show why the suite compares the workbook and revision list after requests rather than accepting a visible error message as the only evidence.</w:t>
      </w:r>
    </w:p>
    <w:p>
      <w:pPr>
        <w:pStyle w:val="Heading2"/>
      </w:pPr>
      <w:r>
        <w:t>Loading is only the entry gate</w:t>
      </w:r>
    </w:p>
    <w:p>
      <w:r>
        <w:t>Haiku passed the loading and same-origin gates, yet the Polish evaluation reported a zero-width or offscreen grid at the target viewport. GPT's side panel clipped history controls. Passing startup therefore did not guarantee that a user could reach the complete working interface.</w:t>
      </w:r>
    </w:p>
    <w:p>
      <w:pPr>
        <w:pStyle w:val="Heading1"/>
      </w:pPr>
      <w:r>
        <w:t>6. Interpretation</w:t>
      </w:r>
    </w:p>
    <w:p>
      <w:r>
        <w:t>This evaluation separates a runnable application shell from a reliable spreadsheet workflow. The most useful distinctions came from transitions between subsystems: reference selection into text editing, local draft into shared state, and an API refusal into preserved durable data. The four runs also show that formula checks alone did not determine the outcome: Gemini passed them while still losing credit elsewhere.</w:t>
      </w:r>
    </w:p>
    <w:p>
      <w:r>
        <w:t>The evaluation includes one recorded rollout per model. Scores and criterion outcomes come from the exported platform results. Detailed criterion reasoning is included in each job's verifier/reward-details.json.</w:t>
      </w:r>
    </w:p>
    <w:p>
      <w:pPr>
        <w:pStyle w:val="Heading1"/>
      </w:pPr>
      <w:r>
        <w:t>7. Delivery evidence</w:t>
      </w:r>
    </w:p>
    <w:p>
      <w:r>
        <w:t>The accompanying evaluation report contains the complete 44-criterion matrix and exact Oracle failures. The task ZIP and four named job directories preserve the submitted package and exported evidence. All runs record version 2.0.10 and the same task checksum: 91fd9a4bc8ca3a006e435ada697e34677482632edac007302573fa3287d931c8</w:t>
      </w:r>
    </w:p>
    <w:sectPr w:rsidR="00FC693F" w:rsidRPr="0006063C" w:rsidSect="00034616">
      <w:headerReference w:type="default" r:id="rId9"/>
      <w:footerReference w:type="default" r:id="rId10"/>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GridForge evaluation evidence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GRIDFORGE | SPREADSHEET WORKSPACE | 2.0.10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5E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5E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5E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dc:title>
  <dc:subject>GridForge spreadsheet evaluation, task version 2.0.10</dc:subject>
  <dc:creator>Task Evaluation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