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 GridForge Shared Spreadsheet</w:t>
      </w:r>
    </w:p>
    <w:p>
      <w:pPr>
        <w:pStyle w:val="Subtitle"/>
      </w:pPr>
      <w:r>
        <w:t>Exact spreadsheet interactions, durable revisions and shared editing sessions.</w:t>
      </w:r>
    </w:p>
    <w:p>
      <w:r>
        <w:t>Task turing/gridforge-shared-spreadsheet | version 1.0.0 | runs completed 11 September 2026 UTC | review 12 September 2026</w:t>
      </w:r>
    </w:p>
    <w:p>
      <w:r>
        <w:t>Oracle 0.9833 | GPT-5.4 mini 0.6033 | Gemini 3.7 Flash 0.6455 | Claude Haiku 4.5 0.5670</w:t>
      </w:r>
    </w:p>
    <w:p>
      <w:r>
        <w:t>The selected evaluation set contains four completed jobs: Oracle with its NOP control and one selected run for each of three models. All use the same task checksum, five judge dimensions and 49 criterion definitions.</w:t>
      </w:r>
    </w:p>
    <w:p>
      <w:pPr>
        <w:pStyle w:val="Heading1"/>
      </w:pPr>
      <w:r>
        <w:t>1. What the task is</w:t>
      </w:r>
    </w:p>
    <w:p>
      <w:r>
        <w:t>GridForge is a shared browser spreadsheet for the Northwind Operations Plan. Its seeded Plan sheet combines quantities, costs, ownership and formulas. Users choose Riley Stone, Morgan Lee, Priya Shah, edit cells, see active collaborators and inspect or restore saved revisions.</w:t>
      </w:r>
    </w:p>
    <w:p>
      <w:r>
        <w:t>The implementation uses Node.js and SQLite under /app, starts with npm start on port 3000 and serves application assets locally. A short instruction.md refers to five mounted specification files and an authoritative seed. The custom grid and calculation behavior cannot be replaced by an off-the-shelf spreadsheet engine.</w:t>
      </w:r>
    </w:p>
    <w:p>
      <w:pPr>
        <w:pStyle w:val="Heading2"/>
      </w:pPr>
      <w:r>
        <w:t>Core features</w:t>
      </w:r>
    </w:p>
    <w:p>
      <w:pPr>
        <w:pStyle w:val="ListBullet"/>
      </w:pPr>
      <w:r>
        <w:t>An editable grid through column T and at least row 80, with headers, selection, raw formulas, current revision and dirty/saved feedback.</w:t>
      </w:r>
    </w:p>
    <w:p>
      <w:pPr>
        <w:pStyle w:val="ListBullet"/>
      </w:pPr>
      <w:r>
        <w:t>Mouse and keyboard selection, distant-cell navigation, real TSV/CSV paste, copy/cut, grouped Undo/Redo, Fill Down/Right, Find and Replace.</w:t>
      </w:r>
    </w:p>
    <w:p>
      <w:pPr>
        <w:pStyle w:val="ListBullet"/>
      </w:pPr>
      <w:r>
        <w:t>Arithmetic, range functions and dependency recalculation; formula autocomplete and reference picking that preserve the caret and selected text; invalid-formula and circular-reference recovery.</w:t>
      </w:r>
    </w:p>
    <w:p>
      <w:pPr>
        <w:pStyle w:val="ListBullet"/>
      </w:pPr>
      <w:r>
        <w:t>Autosave, no-change saves without extra revisions, per-cell history, revision preview, restore as an unsaved undoable draft, and persistence across process restarts.</w:t>
      </w:r>
    </w:p>
    <w:p>
      <w:pPr>
        <w:pStyle w:val="ListBullet"/>
      </w:pPr>
      <w:r>
        <w:t>Independent editing sessions, per-view presence colors, remote selection boundaries, live saved updates, non-overlapping merges and same-cell stale-save conflict handling.</w:t>
      </w:r>
    </w:p>
    <w:p>
      <w:pPr>
        <w:pStyle w:val="ListBullet"/>
      </w:pPr>
      <w:r>
        <w:t>Backend rejection of invalid snapshots, changed workbook identity, unknown or contradictory session information and unauthorized claimed-user writes.</w:t>
      </w:r>
    </w:p>
    <w:p>
      <w:pPr>
        <w:pStyle w:val="Heading1"/>
      </w:pPr>
      <w:r>
        <w:t>2. What we verify</w:t>
      </w:r>
    </w:p>
    <w:p>
      <w:r>
        <w:t>Render has 2 criteria, Constraints 2, Functional 36, Polish 3 and Visual 6. The first four dimensions contain 43 binary criteria; Visual contains six anchored appearance ratings. All 49 verdicts were returned in each selected non-NOP trial.</w:t>
      </w:r>
    </w:p>
    <w:p>
      <w:r>
        <w:t>The reward is zero when Render or Constraints is zero. Otherwise it is 0.6 * Functional + 0.2 * Polish + 0.2 * Visual. Each criterion is evaluated from its own required observations.</w:t>
      </w:r>
    </w:p>
    <w:tbl>
      <w:tblPr>
        <w:tblStyle w:val="TableGrid"/>
        <w:tblW w:type="auto" w:w="0"/>
        <w:jc w:val="center"/>
        <w:tblLayout w:type="fixed"/>
        <w:tblLook w:firstColumn="1" w:firstRow="1" w:lastColumn="0" w:lastRow="0" w:noHBand="0" w:noVBand="1" w:val="04A0"/>
      </w:tblPr>
      <w:tblGrid>
        <w:gridCol w:w="2088"/>
        <w:gridCol w:w="8136"/>
      </w:tblGrid>
      <w:tr>
        <w:trPr>
          <w:tblHeader/>
          <w:cantSplit/>
        </w:trPr>
        <w:tc>
          <w:tcPr>
            <w:tcW w:type="dxa" w:w="2088"/>
            <w:vAlign w:val="top"/>
            <w:shd w:fill="17365D"/>
          </w:tcPr>
          <w:p>
            <w:pPr>
              <w:keepNext w:val="0"/>
              <w:spacing w:after="60" w:before="40" w:line="240" w:lineRule="auto"/>
            </w:pPr>
            <w:r>
              <w:rPr>
                <w:rFonts w:ascii="Calibri" w:hAnsi="Calibri"/>
                <w:b/>
                <w:color w:val="FFFFFF"/>
                <w:sz w:val="18"/>
              </w:rPr>
              <w:t>Area</w:t>
            </w:r>
          </w:p>
        </w:tc>
        <w:tc>
          <w:tcPr>
            <w:tcW w:type="dxa" w:w="8136"/>
            <w:vAlign w:val="top"/>
            <w:shd w:fill="17365D"/>
          </w:tcPr>
          <w:p>
            <w:pPr>
              <w:keepNext w:val="0"/>
              <w:spacing w:after="60" w:before="40" w:line="240" w:lineRule="auto"/>
            </w:pPr>
            <w:r>
              <w:rPr>
                <w:rFonts w:ascii="Calibri" w:hAnsi="Calibri"/>
                <w:b/>
                <w:color w:val="FFFFFF"/>
                <w:sz w:val="18"/>
              </w:rPr>
              <w:t>Representative verification</w:t>
            </w:r>
          </w:p>
        </w:tc>
      </w:tr>
      <w:tr>
        <w:trPr>
          <w:cantSplit/>
        </w:trPr>
        <w:tc>
          <w:tcPr>
            <w:tcW w:type="dxa" w:w="2088"/>
            <w:vAlign w:val="top"/>
          </w:tcPr>
          <w:p>
            <w:pPr>
              <w:keepNext w:val="0"/>
              <w:spacing w:after="60" w:before="40" w:line="240" w:lineRule="auto"/>
            </w:pPr>
            <w:r>
              <w:rPr>
                <w:rFonts w:ascii="Calibri" w:hAnsi="Calibri"/>
                <w:sz w:val="18"/>
              </w:rPr>
              <w:t>Real application</w:t>
            </w:r>
          </w:p>
        </w:tc>
        <w:tc>
          <w:tcPr>
            <w:tcW w:type="dxa" w:w="8136"/>
            <w:vAlign w:val="top"/>
          </w:tcPr>
          <w:p>
            <w:pPr>
              <w:keepNext w:val="0"/>
              <w:spacing w:after="60" w:before="40" w:line="240" w:lineRule="auto"/>
            </w:pPr>
            <w:r>
              <w:rPr>
                <w:rFonts w:ascii="Calibri" w:hAnsi="Calibri"/>
                <w:sz w:val="18"/>
              </w:rPr>
              <w:t>Load and refresh a meaningful workbook, observe its backend data and inspect the actual populated SQLite store read-only.</w:t>
            </w:r>
          </w:p>
        </w:tc>
      </w:tr>
      <w:tr>
        <w:trPr>
          <w:cantSplit/>
        </w:trPr>
        <w:tc>
          <w:tcPr>
            <w:tcW w:type="dxa" w:w="2088"/>
            <w:vAlign w:val="top"/>
          </w:tcPr>
          <w:p>
            <w:pPr>
              <w:keepNext w:val="0"/>
              <w:spacing w:after="60" w:before="40" w:line="240" w:lineRule="auto"/>
            </w:pPr>
            <w:r>
              <w:rPr>
                <w:rFonts w:ascii="Calibri" w:hAnsi="Calibri"/>
                <w:sz w:val="18"/>
              </w:rPr>
              <w:t>Exact interaction</w:t>
            </w:r>
          </w:p>
        </w:tc>
        <w:tc>
          <w:tcPr>
            <w:tcW w:type="dxa" w:w="8136"/>
            <w:vAlign w:val="top"/>
          </w:tcPr>
          <w:p>
            <w:pPr>
              <w:keepNext w:val="0"/>
              <w:spacing w:after="60" w:before="40" w:line="240" w:lineRule="auto"/>
            </w:pPr>
            <w:r>
              <w:rPr>
                <w:rFonts w:ascii="Calibri" w:hAnsi="Calibri"/>
                <w:sz w:val="18"/>
              </w:rPr>
              <w:t>Use the requested grid keyboard, pointer and clipboard actions, then compare the raw formula, selection and displayed result.</w:t>
            </w:r>
          </w:p>
        </w:tc>
      </w:tr>
      <w:tr>
        <w:trPr>
          <w:cantSplit/>
        </w:trPr>
        <w:tc>
          <w:tcPr>
            <w:tcW w:type="dxa" w:w="2088"/>
            <w:vAlign w:val="top"/>
          </w:tcPr>
          <w:p>
            <w:pPr>
              <w:keepNext w:val="0"/>
              <w:spacing w:after="60" w:before="40" w:line="240" w:lineRule="auto"/>
            </w:pPr>
            <w:r>
              <w:rPr>
                <w:rFonts w:ascii="Calibri" w:hAnsi="Calibri"/>
                <w:sz w:val="18"/>
              </w:rPr>
              <w:t>Dependent outcomes</w:t>
            </w:r>
          </w:p>
        </w:tc>
        <w:tc>
          <w:tcPr>
            <w:tcW w:type="dxa" w:w="8136"/>
            <w:vAlign w:val="top"/>
          </w:tcPr>
          <w:p>
            <w:pPr>
              <w:keepNext w:val="0"/>
              <w:spacing w:after="60" w:before="40" w:line="240" w:lineRule="auto"/>
            </w:pPr>
            <w:r>
              <w:rPr>
                <w:rFonts w:ascii="Calibri" w:hAnsi="Calibri"/>
                <w:sz w:val="18"/>
              </w:rPr>
              <w:t>Change a referenced cell and check its downstream formula; copy, paste or fill and check neighboring cells plus grouped Undo/Redo.</w:t>
            </w:r>
          </w:p>
        </w:tc>
      </w:tr>
      <w:tr>
        <w:trPr>
          <w:cantSplit/>
        </w:trPr>
        <w:tc>
          <w:tcPr>
            <w:tcW w:type="dxa" w:w="2088"/>
            <w:vAlign w:val="top"/>
          </w:tcPr>
          <w:p>
            <w:pPr>
              <w:keepNext w:val="0"/>
              <w:spacing w:after="60" w:before="40" w:line="240" w:lineRule="auto"/>
            </w:pPr>
            <w:r>
              <w:rPr>
                <w:rFonts w:ascii="Calibri" w:hAnsi="Calibri"/>
                <w:sz w:val="18"/>
              </w:rPr>
              <w:t>Concurrent editing</w:t>
            </w:r>
          </w:p>
        </w:tc>
        <w:tc>
          <w:tcPr>
            <w:tcW w:type="dxa" w:w="8136"/>
            <w:vAlign w:val="top"/>
          </w:tcPr>
          <w:p>
            <w:pPr>
              <w:keepNext w:val="0"/>
              <w:spacing w:after="60" w:before="40" w:line="240" w:lineRule="auto"/>
            </w:pPr>
            <w:r>
              <w:rPr>
                <w:rFonts w:ascii="Calibri" w:hAnsi="Calibri"/>
                <w:sz w:val="18"/>
              </w:rPr>
              <w:t>Compare saved changes across independent views, retain another view's draft and reject overlapping stale writes.</w:t>
            </w:r>
          </w:p>
        </w:tc>
      </w:tr>
      <w:tr>
        <w:trPr>
          <w:cantSplit/>
        </w:trPr>
        <w:tc>
          <w:tcPr>
            <w:tcW w:type="dxa" w:w="2088"/>
            <w:vAlign w:val="top"/>
          </w:tcPr>
          <w:p>
            <w:pPr>
              <w:keepNext w:val="0"/>
              <w:spacing w:after="60" w:before="40" w:line="240" w:lineRule="auto"/>
            </w:pPr>
            <w:r>
              <w:rPr>
                <w:rFonts w:ascii="Calibri" w:hAnsi="Calibri"/>
                <w:sz w:val="18"/>
              </w:rPr>
              <w:t>Durability</w:t>
            </w:r>
          </w:p>
        </w:tc>
        <w:tc>
          <w:tcPr>
            <w:tcW w:type="dxa" w:w="8136"/>
            <w:vAlign w:val="top"/>
          </w:tcPr>
          <w:p>
            <w:pPr>
              <w:keepNext w:val="0"/>
              <w:spacing w:after="60" w:before="40" w:line="240" w:lineRule="auto"/>
            </w:pPr>
            <w:r>
              <w:rPr>
                <w:rFonts w:ascii="Calibri" w:hAnsi="Calibri"/>
                <w:sz w:val="18"/>
              </w:rPr>
              <w:t>Restart the same application against the same database and verify saved snapshots, identities and history.</w:t>
            </w:r>
          </w:p>
        </w:tc>
      </w:tr>
      <w:tr>
        <w:trPr>
          <w:cantSplit/>
        </w:trPr>
        <w:tc>
          <w:tcPr>
            <w:tcW w:type="dxa" w:w="2088"/>
            <w:vAlign w:val="top"/>
          </w:tcPr>
          <w:p>
            <w:pPr>
              <w:keepNext w:val="0"/>
              <w:spacing w:after="60" w:before="40" w:line="240" w:lineRule="auto"/>
            </w:pPr>
            <w:r>
              <w:rPr>
                <w:rFonts w:ascii="Calibri" w:hAnsi="Calibri"/>
                <w:sz w:val="18"/>
              </w:rPr>
              <w:t>Presentation</w:t>
            </w:r>
          </w:p>
        </w:tc>
        <w:tc>
          <w:tcPr>
            <w:tcW w:type="dxa" w:w="8136"/>
            <w:vAlign w:val="top"/>
          </w:tcPr>
          <w:p>
            <w:pPr>
              <w:keepNext w:val="0"/>
              <w:spacing w:after="60" w:before="40" w:line="240" w:lineRule="auto"/>
            </w:pPr>
            <w:r>
              <w:rPr>
                <w:rFonts w:ascii="Calibri" w:hAnsi="Calibri"/>
                <w:sz w:val="18"/>
              </w:rPr>
              <w:t>Evaluate usable focus and feedback separately from typography, contrast, layout, hierarchy, craft and responsive appearance.</w:t>
            </w:r>
          </w:p>
        </w:tc>
      </w:tr>
    </w:tbl>
    <w:p/>
    <w:p>
      <w:r>
        <w:t>The external coverage map contains 43 requirement groups and maps every criterion. Reports and authoring materials are kept outside the task ZIP.</w:t>
      </w:r>
    </w:p>
    <w:p>
      <w:pPr>
        <w:pStyle w:val="Heading1"/>
      </w:pPr>
      <w:r>
        <w:t>3. Where the models landed</w:t>
      </w:r>
    </w:p>
    <w:tbl>
      <w:tblPr>
        <w:tblStyle w:val="TableGrid"/>
        <w:tblW w:type="auto" w:w="0"/>
        <w:jc w:val="center"/>
        <w:tblLayout w:type="fixed"/>
        <w:tblLook w:firstColumn="1" w:firstRow="1" w:lastColumn="0" w:lastRow="0" w:noHBand="0" w:noVBand="1" w:val="04A0"/>
      </w:tblPr>
      <w:tblGrid>
        <w:gridCol w:w="2448"/>
        <w:gridCol w:w="1224"/>
        <w:gridCol w:w="1224"/>
        <w:gridCol w:w="1224"/>
        <w:gridCol w:w="1512"/>
        <w:gridCol w:w="1296"/>
        <w:gridCol w:w="1296"/>
      </w:tblGrid>
      <w:tr>
        <w:trPr>
          <w:tblHeader/>
          <w:cantSplit/>
        </w:trPr>
        <w:tc>
          <w:tcPr>
            <w:tcW w:type="dxa" w:w="2448"/>
            <w:vAlign w:val="top"/>
            <w:shd w:fill="17365D"/>
          </w:tcPr>
          <w:p>
            <w:pPr>
              <w:keepNext w:val="0"/>
              <w:spacing w:after="60" w:before="40" w:line="240" w:lineRule="auto"/>
            </w:pPr>
            <w:r>
              <w:rPr>
                <w:rFonts w:ascii="Calibri" w:hAnsi="Calibri"/>
                <w:b/>
                <w:color w:val="FFFFFF"/>
                <w:sz w:val="18"/>
              </w:rPr>
              <w:t>Run</w:t>
            </w:r>
          </w:p>
        </w:tc>
        <w:tc>
          <w:tcPr>
            <w:tcW w:type="dxa" w:w="1224"/>
            <w:vAlign w:val="top"/>
            <w:shd w:fill="17365D"/>
          </w:tcPr>
          <w:p>
            <w:pPr>
              <w:keepNext w:val="0"/>
              <w:spacing w:after="60" w:before="40" w:line="240" w:lineRule="auto"/>
            </w:pPr>
            <w:r>
              <w:rPr>
                <w:rFonts w:ascii="Calibri" w:hAnsi="Calibri"/>
                <w:b/>
                <w:color w:val="FFFFFF"/>
                <w:sz w:val="18"/>
              </w:rPr>
              <w:t>Reward</w:t>
            </w:r>
          </w:p>
        </w:tc>
        <w:tc>
          <w:tcPr>
            <w:tcW w:type="dxa" w:w="1224"/>
            <w:vAlign w:val="top"/>
            <w:shd w:fill="17365D"/>
          </w:tcPr>
          <w:p>
            <w:pPr>
              <w:keepNext w:val="0"/>
              <w:spacing w:after="60" w:before="40" w:line="240" w:lineRule="auto"/>
            </w:pPr>
            <w:r>
              <w:rPr>
                <w:rFonts w:ascii="Calibri" w:hAnsi="Calibri"/>
                <w:b/>
                <w:color w:val="FFFFFF"/>
                <w:sz w:val="18"/>
              </w:rPr>
              <w:t>Render</w:t>
            </w:r>
          </w:p>
        </w:tc>
        <w:tc>
          <w:tcPr>
            <w:tcW w:type="dxa" w:w="1224"/>
            <w:vAlign w:val="top"/>
            <w:shd w:fill="17365D"/>
          </w:tcPr>
          <w:p>
            <w:pPr>
              <w:keepNext w:val="0"/>
              <w:spacing w:after="60" w:before="40" w:line="240" w:lineRule="auto"/>
            </w:pPr>
            <w:r>
              <w:rPr>
                <w:rFonts w:ascii="Calibri" w:hAnsi="Calibri"/>
                <w:b/>
                <w:color w:val="FFFFFF"/>
                <w:sz w:val="18"/>
              </w:rPr>
              <w:t>Constr.</w:t>
            </w:r>
          </w:p>
        </w:tc>
        <w:tc>
          <w:tcPr>
            <w:tcW w:type="dxa" w:w="1512"/>
            <w:vAlign w:val="top"/>
            <w:shd w:fill="17365D"/>
          </w:tcPr>
          <w:p>
            <w:pPr>
              <w:keepNext w:val="0"/>
              <w:spacing w:after="60" w:before="40" w:line="240" w:lineRule="auto"/>
            </w:pPr>
            <w:r>
              <w:rPr>
                <w:rFonts w:ascii="Calibri" w:hAnsi="Calibri"/>
                <w:b/>
                <w:color w:val="FFFFFF"/>
                <w:sz w:val="18"/>
              </w:rPr>
              <w:t>Functional</w:t>
            </w:r>
          </w:p>
        </w:tc>
        <w:tc>
          <w:tcPr>
            <w:tcW w:type="dxa" w:w="1296"/>
            <w:vAlign w:val="top"/>
            <w:shd w:fill="17365D"/>
          </w:tcPr>
          <w:p>
            <w:pPr>
              <w:keepNext w:val="0"/>
              <w:spacing w:after="60" w:before="40" w:line="240" w:lineRule="auto"/>
            </w:pPr>
            <w:r>
              <w:rPr>
                <w:rFonts w:ascii="Calibri" w:hAnsi="Calibri"/>
                <w:b/>
                <w:color w:val="FFFFFF"/>
                <w:sz w:val="18"/>
              </w:rPr>
              <w:t>Polish</w:t>
            </w:r>
          </w:p>
        </w:tc>
        <w:tc>
          <w:tcPr>
            <w:tcW w:type="dxa" w:w="1296"/>
            <w:vAlign w:val="top"/>
            <w:shd w:fill="17365D"/>
          </w:tcPr>
          <w:p>
            <w:pPr>
              <w:keepNext w:val="0"/>
              <w:spacing w:after="60" w:before="40" w:line="240" w:lineRule="auto"/>
            </w:pPr>
            <w:r>
              <w:rPr>
                <w:rFonts w:ascii="Calibri" w:hAnsi="Calibri"/>
                <w:b/>
                <w:color w:val="FFFFFF"/>
                <w:sz w:val="18"/>
              </w:rPr>
              <w:t>Visual</w:t>
            </w:r>
          </w:p>
        </w:tc>
      </w:tr>
      <w:tr>
        <w:trPr>
          <w:cantSplit/>
        </w:trPr>
        <w:tc>
          <w:tcPr>
            <w:tcW w:type="dxa" w:w="2448"/>
            <w:vAlign w:val="top"/>
          </w:tcPr>
          <w:p>
            <w:pPr>
              <w:keepNext w:val="0"/>
              <w:spacing w:after="60" w:before="40" w:line="240" w:lineRule="auto"/>
            </w:pPr>
            <w:r>
              <w:rPr>
                <w:rFonts w:ascii="Calibri" w:hAnsi="Calibri"/>
                <w:sz w:val="18"/>
              </w:rPr>
              <w:t>Oracle</w:t>
            </w:r>
          </w:p>
        </w:tc>
        <w:tc>
          <w:tcPr>
            <w:tcW w:type="dxa" w:w="1224"/>
            <w:vAlign w:val="top"/>
          </w:tcPr>
          <w:p>
            <w:pPr>
              <w:keepNext w:val="0"/>
              <w:spacing w:after="60" w:before="40" w:line="240" w:lineRule="auto"/>
            </w:pPr>
            <w:r>
              <w:rPr>
                <w:rFonts w:ascii="Calibri" w:hAnsi="Calibri"/>
                <w:sz w:val="18"/>
              </w:rPr>
              <w:t>0.9833</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0.9167</w:t>
            </w:r>
          </w:p>
        </w:tc>
      </w:tr>
      <w:tr>
        <w:trPr>
          <w:cantSplit/>
        </w:trPr>
        <w:tc>
          <w:tcPr>
            <w:tcW w:type="dxa" w:w="2448"/>
            <w:vAlign w:val="top"/>
          </w:tcPr>
          <w:p>
            <w:pPr>
              <w:keepNext w:val="0"/>
              <w:spacing w:after="60" w:before="40" w:line="240" w:lineRule="auto"/>
            </w:pPr>
            <w:r>
              <w:rPr>
                <w:rFonts w:ascii="Calibri" w:hAnsi="Calibri"/>
                <w:sz w:val="18"/>
              </w:rPr>
              <w:t>GPT-5.4 mini</w:t>
            </w:r>
          </w:p>
        </w:tc>
        <w:tc>
          <w:tcPr>
            <w:tcW w:type="dxa" w:w="1224"/>
            <w:vAlign w:val="top"/>
          </w:tcPr>
          <w:p>
            <w:pPr>
              <w:keepNext w:val="0"/>
              <w:spacing w:after="60" w:before="40" w:line="240" w:lineRule="auto"/>
            </w:pPr>
            <w:r>
              <w:rPr>
                <w:rFonts w:ascii="Calibri" w:hAnsi="Calibri"/>
                <w:sz w:val="18"/>
              </w:rPr>
              <w:t>0.6033</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0.4777</w:t>
            </w:r>
          </w:p>
        </w:tc>
        <w:tc>
          <w:tcPr>
            <w:tcW w:type="dxa" w:w="1296"/>
            <w:vAlign w:val="top"/>
          </w:tcPr>
          <w:p>
            <w:pPr>
              <w:keepNext w:val="0"/>
              <w:spacing w:after="60" w:before="40" w:line="240" w:lineRule="auto"/>
            </w:pPr>
            <w:r>
              <w:rPr>
                <w:rFonts w:ascii="Calibri" w:hAnsi="Calibri"/>
                <w:sz w:val="18"/>
              </w:rPr>
              <w:t>0.6667</w:t>
            </w:r>
          </w:p>
        </w:tc>
        <w:tc>
          <w:tcPr>
            <w:tcW w:type="dxa" w:w="1296"/>
            <w:vAlign w:val="top"/>
          </w:tcPr>
          <w:p>
            <w:pPr>
              <w:keepNext w:val="0"/>
              <w:spacing w:after="60" w:before="40" w:line="240" w:lineRule="auto"/>
            </w:pPr>
            <w:r>
              <w:rPr>
                <w:rFonts w:ascii="Calibri" w:hAnsi="Calibri"/>
                <w:sz w:val="18"/>
              </w:rPr>
              <w:t>0.9167</w:t>
            </w:r>
          </w:p>
        </w:tc>
      </w:tr>
      <w:tr>
        <w:trPr>
          <w:cantSplit/>
        </w:trPr>
        <w:tc>
          <w:tcPr>
            <w:tcW w:type="dxa" w:w="2448"/>
            <w:vAlign w:val="top"/>
          </w:tcPr>
          <w:p>
            <w:pPr>
              <w:keepNext w:val="0"/>
              <w:spacing w:after="60" w:before="40" w:line="240" w:lineRule="auto"/>
            </w:pPr>
            <w:r>
              <w:rPr>
                <w:rFonts w:ascii="Calibri" w:hAnsi="Calibri"/>
                <w:sz w:val="18"/>
              </w:rPr>
              <w:t>Gemini 3.7 Flash</w:t>
            </w:r>
          </w:p>
        </w:tc>
        <w:tc>
          <w:tcPr>
            <w:tcW w:type="dxa" w:w="1224"/>
            <w:vAlign w:val="top"/>
          </w:tcPr>
          <w:p>
            <w:pPr>
              <w:keepNext w:val="0"/>
              <w:spacing w:after="60" w:before="40" w:line="240" w:lineRule="auto"/>
            </w:pPr>
            <w:r>
              <w:rPr>
                <w:rFonts w:ascii="Calibri" w:hAnsi="Calibri"/>
                <w:sz w:val="18"/>
              </w:rPr>
              <w:t>0.6455</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0.5759</w:t>
            </w:r>
          </w:p>
        </w:tc>
        <w:tc>
          <w:tcPr>
            <w:tcW w:type="dxa" w:w="1296"/>
            <w:vAlign w:val="top"/>
          </w:tcPr>
          <w:p>
            <w:pPr>
              <w:keepNext w:val="0"/>
              <w:spacing w:after="60" w:before="40" w:line="240" w:lineRule="auto"/>
            </w:pPr>
            <w:r>
              <w:rPr>
                <w:rFonts w:ascii="Calibri" w:hAnsi="Calibri"/>
                <w:sz w:val="18"/>
              </w:rPr>
              <w:t>0.6667</w:t>
            </w:r>
          </w:p>
        </w:tc>
        <w:tc>
          <w:tcPr>
            <w:tcW w:type="dxa" w:w="1296"/>
            <w:vAlign w:val="top"/>
          </w:tcPr>
          <w:p>
            <w:pPr>
              <w:keepNext w:val="0"/>
              <w:spacing w:after="60" w:before="40" w:line="240" w:lineRule="auto"/>
            </w:pPr>
            <w:r>
              <w:rPr>
                <w:rFonts w:ascii="Calibri" w:hAnsi="Calibri"/>
                <w:sz w:val="18"/>
              </w:rPr>
              <w:t>0.8333</w:t>
            </w:r>
          </w:p>
        </w:tc>
      </w:tr>
      <w:tr>
        <w:trPr>
          <w:cantSplit/>
        </w:trPr>
        <w:tc>
          <w:tcPr>
            <w:tcW w:type="dxa" w:w="2448"/>
            <w:vAlign w:val="top"/>
          </w:tcPr>
          <w:p>
            <w:pPr>
              <w:keepNext w:val="0"/>
              <w:spacing w:after="60" w:before="40" w:line="240" w:lineRule="auto"/>
            </w:pPr>
            <w:r>
              <w:rPr>
                <w:rFonts w:ascii="Calibri" w:hAnsi="Calibri"/>
                <w:sz w:val="18"/>
              </w:rPr>
              <w:t>Claude Haiku 4.5</w:t>
            </w:r>
          </w:p>
        </w:tc>
        <w:tc>
          <w:tcPr>
            <w:tcW w:type="dxa" w:w="1224"/>
            <w:vAlign w:val="top"/>
          </w:tcPr>
          <w:p>
            <w:pPr>
              <w:keepNext w:val="0"/>
              <w:spacing w:after="60" w:before="40" w:line="240" w:lineRule="auto"/>
            </w:pPr>
            <w:r>
              <w:rPr>
                <w:rFonts w:ascii="Calibri" w:hAnsi="Calibri"/>
                <w:sz w:val="18"/>
              </w:rPr>
              <w:t>0.5670</w:t>
            </w:r>
          </w:p>
        </w:tc>
        <w:tc>
          <w:tcPr>
            <w:tcW w:type="dxa" w:w="1224"/>
            <w:vAlign w:val="top"/>
          </w:tcPr>
          <w:p>
            <w:pPr>
              <w:keepNext w:val="0"/>
              <w:spacing w:after="60" w:before="40" w:line="240" w:lineRule="auto"/>
            </w:pPr>
            <w:r>
              <w:rPr>
                <w:rFonts w:ascii="Calibri" w:hAnsi="Calibri"/>
                <w:sz w:val="18"/>
              </w:rPr>
              <w:t>1.0000</w:t>
            </w:r>
          </w:p>
        </w:tc>
        <w:tc>
          <w:tcPr>
            <w:tcW w:type="dxa" w:w="1224"/>
            <w:vAlign w:val="top"/>
          </w:tcPr>
          <w:p>
            <w:pPr>
              <w:keepNext w:val="0"/>
              <w:spacing w:after="60" w:before="40" w:line="240" w:lineRule="auto"/>
            </w:pPr>
            <w:r>
              <w:rPr>
                <w:rFonts w:ascii="Calibri" w:hAnsi="Calibri"/>
                <w:sz w:val="18"/>
              </w:rPr>
              <w:t>1.0000</w:t>
            </w:r>
          </w:p>
        </w:tc>
        <w:tc>
          <w:tcPr>
            <w:tcW w:type="dxa" w:w="1512"/>
            <w:vAlign w:val="top"/>
          </w:tcPr>
          <w:p>
            <w:pPr>
              <w:keepNext w:val="0"/>
              <w:spacing w:after="60" w:before="40" w:line="240" w:lineRule="auto"/>
            </w:pPr>
            <w:r>
              <w:rPr>
                <w:rFonts w:ascii="Calibri" w:hAnsi="Calibri"/>
                <w:sz w:val="18"/>
              </w:rPr>
              <w:t>0.3616</w:t>
            </w:r>
          </w:p>
        </w:tc>
        <w:tc>
          <w:tcPr>
            <w:tcW w:type="dxa" w:w="1296"/>
            <w:vAlign w:val="top"/>
          </w:tcPr>
          <w:p>
            <w:pPr>
              <w:keepNext w:val="0"/>
              <w:spacing w:after="60" w:before="40" w:line="240" w:lineRule="auto"/>
            </w:pPr>
            <w:r>
              <w:rPr>
                <w:rFonts w:ascii="Calibri" w:hAnsi="Calibri"/>
                <w:sz w:val="18"/>
              </w:rPr>
              <w:t>1.0000</w:t>
            </w:r>
          </w:p>
        </w:tc>
        <w:tc>
          <w:tcPr>
            <w:tcW w:type="dxa" w:w="1296"/>
            <w:vAlign w:val="top"/>
          </w:tcPr>
          <w:p>
            <w:pPr>
              <w:keepNext w:val="0"/>
              <w:spacing w:after="60" w:before="40" w:line="240" w:lineRule="auto"/>
            </w:pPr>
            <w:r>
              <w:rPr>
                <w:rFonts w:ascii="Calibri" w:hAnsi="Calibri"/>
                <w:sz w:val="18"/>
              </w:rPr>
              <w:t>0.7500</w:t>
            </w:r>
          </w:p>
        </w:tc>
      </w:tr>
      <w:tr>
        <w:trPr>
          <w:cantSplit/>
        </w:trPr>
        <w:tc>
          <w:tcPr>
            <w:tcW w:type="dxa" w:w="2448"/>
            <w:vAlign w:val="top"/>
          </w:tcPr>
          <w:p>
            <w:pPr>
              <w:keepNext w:val="0"/>
              <w:spacing w:after="60" w:before="40" w:line="240" w:lineRule="auto"/>
            </w:pPr>
            <w:r>
              <w:rPr>
                <w:rFonts w:ascii="Calibri" w:hAnsi="Calibri"/>
                <w:sz w:val="18"/>
              </w:rPr>
              <w:t>NOP</w:t>
            </w:r>
          </w:p>
        </w:tc>
        <w:tc>
          <w:tcPr>
            <w:tcW w:type="dxa" w:w="1224"/>
            <w:vAlign w:val="top"/>
          </w:tcPr>
          <w:p>
            <w:pPr>
              <w:keepNext w:val="0"/>
              <w:spacing w:after="60" w:before="40" w:line="240" w:lineRule="auto"/>
            </w:pPr>
            <w:r>
              <w:rPr>
                <w:rFonts w:ascii="Calibri" w:hAnsi="Calibri"/>
                <w:sz w:val="18"/>
              </w:rPr>
              <w:t>0.0000</w:t>
            </w:r>
          </w:p>
        </w:tc>
        <w:tc>
          <w:tcPr>
            <w:tcW w:type="dxa" w:w="1224"/>
            <w:vAlign w:val="top"/>
          </w:tcPr>
          <w:p>
            <w:pPr>
              <w:keepNext w:val="0"/>
              <w:spacing w:after="60" w:before="40" w:line="240" w:lineRule="auto"/>
            </w:pPr>
            <w:r>
              <w:rPr>
                <w:rFonts w:ascii="Calibri" w:hAnsi="Calibri"/>
                <w:sz w:val="18"/>
              </w:rPr>
              <w:t>0.0000</w:t>
            </w:r>
          </w:p>
        </w:tc>
        <w:tc>
          <w:tcPr>
            <w:tcW w:type="dxa" w:w="1224"/>
            <w:vAlign w:val="top"/>
          </w:tcPr>
          <w:p>
            <w:pPr>
              <w:keepNext w:val="0"/>
              <w:spacing w:after="60" w:before="40" w:line="240" w:lineRule="auto"/>
            </w:pPr>
            <w:r>
              <w:rPr>
                <w:rFonts w:ascii="Calibri" w:hAnsi="Calibri"/>
                <w:sz w:val="18"/>
              </w:rPr>
              <w:t>0.0000</w:t>
            </w:r>
          </w:p>
        </w:tc>
        <w:tc>
          <w:tcPr>
            <w:tcW w:type="dxa" w:w="1512"/>
            <w:vAlign w:val="top"/>
          </w:tcPr>
          <w:p>
            <w:pPr>
              <w:keepNext w:val="0"/>
              <w:spacing w:after="60" w:before="40" w:line="240" w:lineRule="auto"/>
            </w:pPr>
            <w:r>
              <w:rPr>
                <w:rFonts w:ascii="Calibri" w:hAnsi="Calibri"/>
                <w:sz w:val="18"/>
              </w:rPr>
              <w:t>0.0000</w:t>
            </w:r>
          </w:p>
        </w:tc>
        <w:tc>
          <w:tcPr>
            <w:tcW w:type="dxa" w:w="1296"/>
            <w:vAlign w:val="top"/>
          </w:tcPr>
          <w:p>
            <w:pPr>
              <w:keepNext w:val="0"/>
              <w:spacing w:after="60" w:before="40" w:line="240" w:lineRule="auto"/>
            </w:pPr>
            <w:r>
              <w:rPr>
                <w:rFonts w:ascii="Calibri" w:hAnsi="Calibri"/>
                <w:sz w:val="18"/>
              </w:rPr>
              <w:t>0.0000</w:t>
            </w:r>
          </w:p>
        </w:tc>
        <w:tc>
          <w:tcPr>
            <w:tcW w:type="dxa" w:w="1296"/>
            <w:vAlign w:val="top"/>
          </w:tcPr>
          <w:p>
            <w:pPr>
              <w:keepNext w:val="0"/>
              <w:spacing w:after="60" w:before="40" w:line="240" w:lineRule="auto"/>
            </w:pPr>
            <w:r>
              <w:rPr>
                <w:rFonts w:ascii="Calibri" w:hAnsi="Calibri"/>
                <w:sz w:val="18"/>
              </w:rPr>
              <w:t>0.0000</w:t>
            </w:r>
          </w:p>
        </w:tc>
      </w:tr>
    </w:tbl>
    <w:p/>
    <w:p>
      <w:pPr>
        <w:pStyle w:val="Heading2"/>
      </w:pPr>
      <w:r>
        <w:t>Oracle: 0.9833</w:t>
      </w:r>
    </w:p>
    <w:p>
      <w:r>
        <w:t>The golden implementation passed all 36 Functional, 2 Render, 2 Constraints and 3 Polish criteria. Visual scored 0.9167. All collected golden application files match the prepared task source.</w:t>
      </w:r>
    </w:p>
    <w:p>
      <w:pPr>
        <w:pStyle w:val="Heading2"/>
      </w:pPr>
      <w:r>
        <w:t>GPT-5.4 mini, high: 0.6033</w:t>
      </w:r>
    </w:p>
    <w:p>
      <w:r>
        <w:t>GPT produced a functioning application and passed both gates. It passed 22 of 36 Functional criteria and 2 of 3 Polish criteria, with Visual 0.9167. Across the binary criteria, 28 passed and 15 failed.</w:t>
      </w:r>
    </w:p>
    <w:p>
      <w:pPr>
        <w:pStyle w:val="ListBullet"/>
      </w:pPr>
      <w:r>
        <w:t>Committed Enter/Tab navigation moved too far, and name-box range selection collapsed to a single cell. This prevented the required range copy/cut journeys.</w:t>
      </w:r>
    </w:p>
    <w:p>
      <w:pPr>
        <w:pStyle w:val="ListBullet"/>
      </w:pPr>
      <w:r>
        <w:t>Formula reference replacement and alternating mouse-reference paths did not preserve the requested raw formulas. Incomplete formulas remained literal text; a range cycle failed to propagate its error.</w:t>
      </w:r>
    </w:p>
    <w:p>
      <w:pPr>
        <w:pStyle w:val="ListBullet"/>
      </w:pPr>
      <w:r>
        <w:t>Fill Down worked, but the horizontal numeric and relative-formula sequences diverged from the expected values.</w:t>
      </w:r>
    </w:p>
    <w:p>
      <w:pPr>
        <w:pStyle w:val="ListBullet"/>
      </w:pPr>
      <w:r>
        <w:t>The same-cell collaboration journey lost a local draft, while presence labels displayed undefined. Backend validation accepted a numeric-string revision and a missing cell map.</w:t>
      </w:r>
    </w:p>
    <w:p>
      <w:pPr>
        <w:pStyle w:val="Heading2"/>
      </w:pPr>
      <w:r>
        <w:t>Gemini 3.7 Flash, high: 0.6455</w:t>
      </w:r>
    </w:p>
    <w:p>
      <w:r>
        <w:t>Gemini passed 25 of 36 Functional criteria and 2 of 3 Polish criteria, with Visual 0.8333. Its binary total was 31 passes and 12 failures.</w:t>
      </w:r>
    </w:p>
    <w:p>
      <w:pPr>
        <w:pStyle w:val="ListBullet"/>
      </w:pPr>
      <w:r>
        <w:t>Many ordinary calculations, storage operations and editing paths passed.</w:t>
      </w:r>
    </w:p>
    <w:p>
      <w:pPr>
        <w:pStyle w:val="ListBullet"/>
      </w:pPr>
      <w:r>
        <w:t>Failures included horizontal fill, Find Next cycling, restore Undo, reference/range interactions and invalid name-box input.</w:t>
      </w:r>
    </w:p>
    <w:p>
      <w:pPr>
        <w:pStyle w:val="ListBullet"/>
      </w:pPr>
      <w:r>
        <w:t>The selected run also recorded failures in same-cell stale saves, per-view presence colors and server validation.</w:t>
      </w:r>
    </w:p>
    <w:p>
      <w:pPr>
        <w:pStyle w:val="Heading2"/>
      </w:pPr>
      <w:r>
        <w:t>Claude Haiku 4.5: 0.5670</w:t>
      </w:r>
    </w:p>
    <w:p>
      <w:r>
        <w:t>Haiku passed 16 of 36 Functional criteria and all three Polish criteria, with Visual 0.7500. Its binary total was 23 passes and 20 failures.</w:t>
      </w:r>
    </w:p>
    <w:p>
      <w:pPr>
        <w:pStyle w:val="ListBullet"/>
      </w:pPr>
      <w:r>
        <w:t>Several calculations and internal editing paths worked, while multi-step reference insertion, keyboard commit destinations and revision behavior failed.</w:t>
      </w:r>
    </w:p>
    <w:p>
      <w:pPr>
        <w:pStyle w:val="ListBullet"/>
      </w:pPr>
      <w:r>
        <w:t>Internal copy/cut paths passed while external TSV/CSV input did not populate the required cells.</w:t>
      </w:r>
    </w:p>
    <w:p>
      <w:pPr>
        <w:pStyle w:val="ListBullet"/>
      </w:pPr>
      <w:r>
        <w:t>Restore saved directly rather than producing an unsaved single-Undo draft, and no-change saves created additional revisions.</w:t>
      </w:r>
    </w:p>
    <w:p>
      <w:pPr>
        <w:pStyle w:val="ListBullet"/>
      </w:pPr>
      <w:r>
        <w:t>Live collaboration and malformed or forged save-request checks exposed further failures.</w:t>
      </w:r>
    </w:p>
    <w:p>
      <w:pPr>
        <w:pStyle w:val="Heading1"/>
      </w:pPr>
      <w:r>
        <w:t>4. What this task measures</w:t>
      </w:r>
    </w:p>
    <w:p>
      <w:r>
        <w:t>The separation is not arithmetic alone. A single edit can require correct raw formula text, pointer selection, dependency recalculation, an atomic Undo record, one durable revision and a safe update in another editing view. The model submissions implemented different portions of those interacting behaviors.</w:t>
      </w:r>
    </w:p>
    <w:p>
      <w:r>
        <w:t>The selected Oracle exceeds the 0.95 threshold and passes every Functional criterion. The three selected model rewards are all within the 0.1-0.7 target band. The NOP control returned zero.</w:t>
      </w:r>
    </w:p>
    <w:p>
      <w:pPr>
        <w:pStyle w:val="Heading1"/>
      </w:pPr>
      <w:r>
        <w:t>5. Evidence and delivery</w:t>
      </w:r>
    </w:p>
    <w:tbl>
      <w:tblPr>
        <w:tblStyle w:val="TableGrid"/>
        <w:tblW w:type="auto" w:w="0"/>
        <w:jc w:val="center"/>
        <w:tblLayout w:type="fixed"/>
        <w:tblLook w:firstColumn="1" w:firstRow="1" w:lastColumn="0" w:lastRow="0" w:noHBand="0" w:noVBand="1" w:val="04A0"/>
      </w:tblPr>
      <w:tblGrid>
        <w:gridCol w:w="2160"/>
        <w:gridCol w:w="8064"/>
      </w:tblGrid>
      <w:tr>
        <w:trPr>
          <w:tblHeader/>
          <w:cantSplit/>
        </w:trPr>
        <w:tc>
          <w:tcPr>
            <w:tcW w:type="dxa" w:w="2160"/>
            <w:vAlign w:val="top"/>
            <w:shd w:fill="17365D"/>
          </w:tcPr>
          <w:p>
            <w:pPr>
              <w:keepNext w:val="0"/>
              <w:spacing w:after="60" w:before="40" w:line="240" w:lineRule="auto"/>
            </w:pPr>
            <w:r>
              <w:rPr>
                <w:rFonts w:ascii="Calibri" w:hAnsi="Calibri"/>
                <w:b/>
                <w:color w:val="FFFFFF"/>
                <w:sz w:val="18"/>
              </w:rPr>
              <w:t>Run</w:t>
            </w:r>
          </w:p>
        </w:tc>
        <w:tc>
          <w:tcPr>
            <w:tcW w:type="dxa" w:w="8064"/>
            <w:vAlign w:val="top"/>
            <w:shd w:fill="17365D"/>
          </w:tcPr>
          <w:p>
            <w:pPr>
              <w:keepNext w:val="0"/>
              <w:spacing w:after="60" w:before="40" w:line="240" w:lineRule="auto"/>
            </w:pPr>
            <w:r>
              <w:rPr>
                <w:rFonts w:ascii="Calibri" w:hAnsi="Calibri"/>
                <w:b/>
                <w:color w:val="FFFFFF"/>
                <w:sz w:val="18"/>
              </w:rPr>
              <w:t>Selected exported run and trial</w:t>
            </w:r>
          </w:p>
        </w:tc>
      </w:tr>
      <w:tr>
        <w:trPr>
          <w:cantSplit/>
        </w:trPr>
        <w:tc>
          <w:tcPr>
            <w:tcW w:type="dxa" w:w="2160"/>
            <w:vAlign w:val="top"/>
          </w:tcPr>
          <w:p>
            <w:pPr>
              <w:keepNext w:val="0"/>
              <w:spacing w:after="60" w:before="40" w:line="240" w:lineRule="auto"/>
            </w:pPr>
            <w:r>
              <w:rPr>
                <w:rFonts w:ascii="Calibri" w:hAnsi="Calibri"/>
                <w:sz w:val="18"/>
              </w:rPr>
              <w:t>Oracle</w:t>
            </w:r>
          </w:p>
        </w:tc>
        <w:tc>
          <w:tcPr>
            <w:tcW w:type="dxa" w:w="8064"/>
            <w:vAlign w:val="top"/>
          </w:tcPr>
          <w:p>
            <w:pPr>
              <w:keepNext w:val="0"/>
              <w:spacing w:after="60" w:before="40" w:line="240" w:lineRule="auto"/>
            </w:pPr>
            <w:r>
              <w:rPr>
                <w:rFonts w:ascii="Calibri" w:hAnsi="Calibri"/>
                <w:sz w:val="18"/>
              </w:rPr>
              <w:t>run-9a5e2dd8-96ce-4fba-8fca-128c94deb01f</w:t>
              <w:br/>
              <w:t>gridforge-spreadsheet-v3__f7mMRHS</w:t>
            </w:r>
          </w:p>
        </w:tc>
      </w:tr>
      <w:tr>
        <w:trPr>
          <w:cantSplit/>
        </w:trPr>
        <w:tc>
          <w:tcPr>
            <w:tcW w:type="dxa" w:w="2160"/>
            <w:vAlign w:val="top"/>
          </w:tcPr>
          <w:p>
            <w:pPr>
              <w:keepNext w:val="0"/>
              <w:spacing w:after="60" w:before="40" w:line="240" w:lineRule="auto"/>
            </w:pPr>
            <w:r>
              <w:rPr>
                <w:rFonts w:ascii="Calibri" w:hAnsi="Calibri"/>
                <w:sz w:val="18"/>
              </w:rPr>
              <w:t>GPT-5.4 mini</w:t>
            </w:r>
          </w:p>
        </w:tc>
        <w:tc>
          <w:tcPr>
            <w:tcW w:type="dxa" w:w="8064"/>
            <w:vAlign w:val="top"/>
          </w:tcPr>
          <w:p>
            <w:pPr>
              <w:keepNext w:val="0"/>
              <w:spacing w:after="60" w:before="40" w:line="240" w:lineRule="auto"/>
            </w:pPr>
            <w:r>
              <w:rPr>
                <w:rFonts w:ascii="Calibri" w:hAnsi="Calibri"/>
                <w:sz w:val="18"/>
              </w:rPr>
              <w:t>run-adb1dc0b-5285-4013-a97e-d1353cfe147b</w:t>
              <w:br/>
              <w:t>gridforge-spreadsheet-v3__CB393mJ</w:t>
            </w:r>
          </w:p>
        </w:tc>
      </w:tr>
      <w:tr>
        <w:trPr>
          <w:cantSplit/>
        </w:trPr>
        <w:tc>
          <w:tcPr>
            <w:tcW w:type="dxa" w:w="2160"/>
            <w:vAlign w:val="top"/>
          </w:tcPr>
          <w:p>
            <w:pPr>
              <w:keepNext w:val="0"/>
              <w:spacing w:after="60" w:before="40" w:line="240" w:lineRule="auto"/>
            </w:pPr>
            <w:r>
              <w:rPr>
                <w:rFonts w:ascii="Calibri" w:hAnsi="Calibri"/>
                <w:sz w:val="18"/>
              </w:rPr>
              <w:t>Gemini 3.7 Flash</w:t>
            </w:r>
          </w:p>
        </w:tc>
        <w:tc>
          <w:tcPr>
            <w:tcW w:type="dxa" w:w="8064"/>
            <w:vAlign w:val="top"/>
          </w:tcPr>
          <w:p>
            <w:pPr>
              <w:keepNext w:val="0"/>
              <w:spacing w:after="60" w:before="40" w:line="240" w:lineRule="auto"/>
            </w:pPr>
            <w:r>
              <w:rPr>
                <w:rFonts w:ascii="Calibri" w:hAnsi="Calibri"/>
                <w:sz w:val="18"/>
              </w:rPr>
              <w:t>run-181de4d2-bb6f-4252-9a1f-d77e42f0c99c</w:t>
              <w:br/>
              <w:t>gridforge-spreadsheet-v3__4pB3tMu</w:t>
            </w:r>
          </w:p>
        </w:tc>
      </w:tr>
      <w:tr>
        <w:trPr>
          <w:cantSplit/>
        </w:trPr>
        <w:tc>
          <w:tcPr>
            <w:tcW w:type="dxa" w:w="2160"/>
            <w:vAlign w:val="top"/>
          </w:tcPr>
          <w:p>
            <w:pPr>
              <w:keepNext w:val="0"/>
              <w:spacing w:after="60" w:before="40" w:line="240" w:lineRule="auto"/>
            </w:pPr>
            <w:r>
              <w:rPr>
                <w:rFonts w:ascii="Calibri" w:hAnsi="Calibri"/>
                <w:sz w:val="18"/>
              </w:rPr>
              <w:t>Claude Haiku 4.5</w:t>
            </w:r>
          </w:p>
        </w:tc>
        <w:tc>
          <w:tcPr>
            <w:tcW w:type="dxa" w:w="8064"/>
            <w:vAlign w:val="top"/>
          </w:tcPr>
          <w:p>
            <w:pPr>
              <w:keepNext w:val="0"/>
              <w:spacing w:after="60" w:before="40" w:line="240" w:lineRule="auto"/>
            </w:pPr>
            <w:r>
              <w:rPr>
                <w:rFonts w:ascii="Calibri" w:hAnsi="Calibri"/>
                <w:sz w:val="18"/>
              </w:rPr>
              <w:t>run-9b223321-4530-4437-be85-1312852dd799</w:t>
              <w:br/>
              <w:t>gridforge-spreadsheet-v3__BpWd6zZ</w:t>
            </w:r>
          </w:p>
        </w:tc>
      </w:tr>
      <w:tr>
        <w:trPr>
          <w:cantSplit/>
        </w:trPr>
        <w:tc>
          <w:tcPr>
            <w:tcW w:type="dxa" w:w="2160"/>
            <w:vAlign w:val="top"/>
          </w:tcPr>
          <w:p>
            <w:pPr>
              <w:keepNext w:val="0"/>
              <w:spacing w:after="60" w:before="40" w:line="240" w:lineRule="auto"/>
            </w:pPr>
            <w:r>
              <w:rPr>
                <w:rFonts w:ascii="Calibri" w:hAnsi="Calibri"/>
                <w:sz w:val="18"/>
              </w:rPr>
              <w:t>NOP</w:t>
            </w:r>
          </w:p>
        </w:tc>
        <w:tc>
          <w:tcPr>
            <w:tcW w:type="dxa" w:w="8064"/>
            <w:vAlign w:val="top"/>
          </w:tcPr>
          <w:p>
            <w:pPr>
              <w:keepNext w:val="0"/>
              <w:spacing w:after="60" w:before="40" w:line="240" w:lineRule="auto"/>
            </w:pPr>
            <w:r>
              <w:rPr>
                <w:rFonts w:ascii="Calibri" w:hAnsi="Calibri"/>
                <w:sz w:val="18"/>
              </w:rPr>
              <w:t>run-9a5e2dd8-96ce-4fba-8fca-128c94deb01f</w:t>
              <w:br/>
              <w:t>gridforge-spreadsheet-v3__GbHLkUN</w:t>
            </w:r>
          </w:p>
        </w:tc>
      </w:tr>
    </w:tbl>
    <w:p/>
    <w:p>
      <w:r>
        <w:t>The task ZIP is unchanged from the evaluated rubric-r3 release. Its SHA-256 is b7da7e23f9c90e6e184a4d911db22fbce5ff7260b19e4b2cf11ece2cb28945e3. The four job-directory archives preserve their selected exported files; Oracle and NOP remain together.</w:t>
      </w:r>
    </w:p>
    <w:p>
      <w:r>
        <w:t>The companion evaluation report contains the dimension totals, reward reconciliation, full criterion matrix and exported failed-verifier reasoning.</w:t>
      </w: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GridForge Shared Spreadsheet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GridForge Shared Spreadsheet</dc:title>
  <dc:subject>GridForge Shared Spreadsheet evaluation evidence</dc:subject>
  <dc:creator>Task Evaluation</dc:creator>
  <cp:keywords>GridForge, spreadsheet, evaluation, Oracle</cp:keywords>
  <dc:description>Generated from the supplied run exports; original scores are preserved.</dc:description>
  <cp:lastModifiedBy>Task Evaluation</cp:lastModifiedBy>
  <cp:revision>1</cp:revision>
  <dcterms:created xsi:type="dcterms:W3CDTF">2026-09-11T22:15:43Z</dcterms:created>
  <dcterms:modified xsi:type="dcterms:W3CDTF">2026-09-11T22:15:43Z</dcterms:modified>
  <cp:category>Evaluation report</cp:category>
</cp:coreProperties>
</file>