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Title"/>
        <w:spacing w:after="95" w:line="250" w:lineRule="auto"/>
        <w:keepNext/>
      </w:pPr>
      <w:r>
        <w:rPr/>
        <w:t xml:space="preserve">Case Study - PatchPad Editor v3</w:t>
      </w:r>
    </w:p>
    <w:p>
      <w:pPr>
        <w:spacing w:after="95" w:line="250" w:lineRule="auto"/>
      </w:pPr>
      <w:r>
        <w:rPr>
          <w:color w:val="52657A"/>
        </w:rPr>
        <w:t xml:space="preserve">A long-report editor combining exact text operations with durable, conflict-safe revisions</w:t>
      </w:r>
    </w:p>
    <w:p>
      <w:pPr>
        <w:spacing w:after="95" w:line="250" w:lineRule="auto"/>
      </w:pPr>
      <w:r>
        <w:rPr>
          <w:sz w:val="18"/>
        </w:rPr>
        <w:t xml:space="preserve">Harbor task: turing/patchpad-editor-v3 | version 1.0.0 | prepared 13 September 2026</w:t>
      </w:r>
    </w:p>
    <w:p>
      <w:pPr>
        <w:spacing w:after="95" w:line="250" w:lineRule="auto"/>
      </w:pPr>
      <w:r>
        <w:rPr>
          <w:sz w:val="18"/>
        </w:rPr>
        <w:t xml:space="preserve">Scope: recorded platform outcomes. GPT-5.4 mini is the score target; Gemini has no score restriction. The user authorized final packaging with the reported evidence limitations retained. No scores, task requirements or verifier weights were changed.</w:t>
      </w:r>
    </w:p>
    <w:p>
      <w:pPr>
        <w:spacing w:after="95" w:line="250" w:lineRule="auto"/>
      </w:pPr>
      <w:r>
        <w:rPr/>
        <w:t xml:space="preserve">Recorded scores: Oracle 1.0000 | GPT-5.4 mini 0.5605 | Haiku 4.5 0.2233 | Gemini 3.7 Flash 0.7622 | no-op 0.0000</w:t>
      </w:r>
    </w:p>
    <w:p>
      <w:pPr>
        <w:pStyle w:val="Heading1"/>
        <w:spacing w:after="95" w:line="250" w:lineRule="auto"/>
        <w:keepNext/>
      </w:pPr>
      <w:r>
        <w:rPr/>
        <w:t xml:space="preserve">1. What the task is</w:t>
      </w:r>
    </w:p>
    <w:p>
      <w:pPr>
        <w:spacing w:after="95" w:line="250" w:lineRule="auto"/>
      </w:pPr>
      <w:r>
        <w:rPr/>
        <w:t xml:space="preserve">Build PatchPad from an empty /app: a browser editor for long incident reports, with a custom editing surface, SQLite as the source of truth and a reliable saved-revision history. The supplied Northwind API Incident Report has 1,226 logical lines, including exact generated markers and a tail sentinel. Five detailed instruction files accompany the short product brief.</w:t>
      </w:r>
    </w:p>
    <w:tbl>
      <w:tblPr>
        <w:tblW w:w="10440" w:type="dxa"/>
        <w:tblLayout w:type="fixed"/>
        <w:tblCellMar>
          <w:top w:w="70" w:type="dxa"/>
          <w:bottom w:w="70" w:type="dxa"/>
          <w:left w:w="70" w:type="dxa"/>
          <w:right w:w="70" w:type="dxa"/>
        </w:tblCellMar>
        <w:tblBorders>
          <w:top w:val="single" w:sz="4" w:color="D8E2EE"/>
          <w:left w:val="single" w:sz="4" w:color="D8E2EE"/>
          <w:bottom w:val="single" w:sz="4" w:color="D8E2EE"/>
          <w:right w:val="single" w:sz="4" w:color="D8E2EE"/>
          <w:insideH w:val="single" w:sz="4" w:color="D8E2EE"/>
          <w:insideV w:val="single" w:sz="4" w:color="D8E2EE"/>
        </w:tblBorders>
      </w:tblPr>
      <w:tblGrid>
        <w:gridCol w:w="2800"/>
        <w:gridCol w:w="7640"/>
      </w:tblGrid>
      <w:tr>
        <w:trPr>
          <w:cantSplit/>
          <w:tblHeader/>
        </w:trPr>
        <w:tc>
          <w:tcPr>
            <w:tcW w:w="280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7"/>
                <w:b/>
                <w:color w:val="FFFFFF"/>
              </w:rPr>
              <w:t xml:space="preserve">Area</w:t>
            </w:r>
          </w:p>
        </w:tc>
        <w:tc>
          <w:tcPr>
            <w:tcW w:w="764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7"/>
                <w:b/>
                <w:color w:val="FFFFFF"/>
              </w:rPr>
              <w:t xml:space="preserve">Required behavior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Custom editor and seed</w:t>
            </w:r>
          </w:p>
        </w:tc>
        <w:tc>
          <w:tcPr>
            <w:tcW w:w="76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Custom DOM/canvas/SVG document surface; supplied Northwind API Incident Report; 1,226 logical lines, original metadata and revision 1.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Editing and selection</w:t>
            </w:r>
          </w:p>
        </w:tc>
        <w:tc>
          <w:tcPr>
            <w:tcW w:w="76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Logical line/cursor positions, word navigation, grapheme-safe Unicode, mouse word/line/range selection, offscreen selection and multiple carets.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Clipboard and history</w:t>
            </w:r>
          </w:p>
        </w:tc>
        <w:tc>
          <w:tcPr>
            <w:tcW w:w="76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Exact multiline/tabbed copy-cut-paste, typing groups, atomic selection replacement, block indentation, Replace All, Undo/Redo and redo-branch invalidation.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Saved revisions</w:t>
            </w:r>
          </w:p>
        </w:tc>
        <w:tc>
          <w:tcPr>
            <w:tcW w:w="76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Explicit Save, no-op save invariants, reload/fresh-client persistence, revision preview and unsaved restore with Undo.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Server safety</w:t>
            </w:r>
          </w:p>
        </w:tc>
        <w:tc>
          <w:tcPr>
            <w:tcW w:w="76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SQLite durability, restart seed idempotence, chained two-tab stale-save conflicts and malformed/contradictory save rejection without mutation.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Interface</w:t>
            </w:r>
          </w:p>
        </w:tc>
        <w:tc>
          <w:tcPr>
            <w:tcW w:w="76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Discoverable controls, focus and readable feedback; five visual axes at 1280 by 800. No mobile or sign-in requirement.</w:t>
            </w:r>
          </w:p>
        </w:tc>
      </w:tr>
    </w:tbl>
    <w:p>
      <w:pPr>
        <w:spacing w:after="95" w:line="250" w:lineRule="auto"/>
      </w:pPr>
      <w:r>
        <w:rPr/>
        <w:t xml:space="preserve"/>
      </w:r>
    </w:p>
    <w:p>
      <w:pPr>
        <w:spacing w:after="95" w:line="250" w:lineRule="auto"/>
      </w:pPr>
      <w:r>
        <w:rPr/>
        <w:t xml:space="preserve">One Node.js application starts with npm start on 0.0.0.0:${PORT:-3000}. Dependencies must be available at startup. Public networking is permitted; document data, saves and history remain local and server-backed. A native textarea/contenteditable or ready-made editor may not implement the document surface; a small hidden input for keyboard or clipboard plumbing is permitted.</w:t>
      </w:r>
    </w:p>
    <w:p>
      <w:pPr>
        <w:pStyle w:val="Heading1"/>
        <w:spacing w:after="95" w:line="250" w:lineRule="auto"/>
        <w:keepNext/>
      </w:pPr>
      <w:r>
        <w:rPr/>
        <w:t xml:space="preserve">2. Why the task requires more than presentation</w:t>
      </w:r>
    </w:p>
    <w:p>
      <w:pPr>
        <w:spacing w:after="95" w:line="250" w:lineRule="auto"/>
      </w:pPr>
      <w:r>
        <w:rPr/>
        <w:t xml:space="preserve">The same document must survive distinct state transitions: exact unsaved edits, grouped Undo/Redo, persisted saves, revision restoration and concurrent writes. A visually convincing editor can still split graphemes, change an unselected line during indentation, lose an Undo group or overwrite a newer revision.</w:t>
      </w:r>
    </w:p>
    <w:p>
      <w:pPr>
        <w:spacing w:after="95" w:line="250" w:lineRule="auto"/>
      </w:pPr>
      <w:r>
        <w:rPr/>
        <w:t xml:space="preserve">Version v3 adds selected-block indentation with preserved selection and atomic history, plus whole-document Replace All Undo/Redo and branch invalidation. These behaviors are stated in the product brief and each has a distinct Functional criterion. The existing 60/20/20 reward formula remains unchanged.</w:t>
      </w:r>
    </w:p>
    <w:p>
      <w:pPr>
        <w:pStyle w:val="Heading1"/>
        <w:spacing w:after="95" w:line="250" w:lineRule="auto"/>
        <w:keepNext/>
      </w:pPr>
      <w:r>
        <w:rPr/>
        <w:t xml:space="preserve">3. How it is evaluated</w:t>
      </w:r>
    </w:p>
    <w:p>
      <w:pPr>
        <w:spacing w:after="95" w:line="250" w:lineRule="auto"/>
      </w:pPr>
      <w:r>
        <w:rPr/>
        <w:t xml:space="preserve">Codex with gpt-5.6-luna and max reasoning uses Playwright MCP against the live app. There are 41 criteria: Render 2, Constraints 2, Functional 29, Polish 3 and Visual 5. Functional criterion weights total 22.75. Render/Constraints are prerequisites; the final reward is 60% Functional, 20% Polish and 20% Visual. The agent budget is 7,200 seconds and the separate verifier budget is 13,200 seconds.</w:t>
      </w:r>
    </w:p>
    <w:tbl>
      <w:tblPr>
        <w:tblW w:w="10440" w:type="dxa"/>
        <w:tblLayout w:type="fixed"/>
        <w:tblCellMar>
          <w:top w:w="70" w:type="dxa"/>
          <w:bottom w:w="70" w:type="dxa"/>
          <w:left w:w="70" w:type="dxa"/>
          <w:right w:w="70" w:type="dxa"/>
        </w:tblCellMar>
        <w:tblBorders>
          <w:top w:val="single" w:sz="4" w:color="D8E2EE"/>
          <w:left w:val="single" w:sz="4" w:color="D8E2EE"/>
          <w:bottom w:val="single" w:sz="4" w:color="D8E2EE"/>
          <w:right w:val="single" w:sz="4" w:color="D8E2EE"/>
          <w:insideH w:val="single" w:sz="4" w:color="D8E2EE"/>
          <w:insideV w:val="single" w:sz="4" w:color="D8E2EE"/>
        </w:tblBorders>
      </w:tblPr>
      <w:tblGrid>
        <w:gridCol w:w="1880"/>
        <w:gridCol w:w="850"/>
        <w:gridCol w:w="820"/>
        <w:gridCol w:w="820"/>
        <w:gridCol w:w="820"/>
        <w:gridCol w:w="820"/>
        <w:gridCol w:w="820"/>
        <w:gridCol w:w="3610"/>
      </w:tblGrid>
      <w:tr>
        <w:trPr>
          <w:cantSplit/>
          <w:tblHeader/>
        </w:trPr>
        <w:tc>
          <w:tcPr>
            <w:tcW w:w="188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Run</w:t>
            </w:r>
          </w:p>
        </w:tc>
        <w:tc>
          <w:tcPr>
            <w:tcW w:w="85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Overall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Render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Constr.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Func.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Polish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Visual</w:t>
            </w:r>
          </w:p>
        </w:tc>
        <w:tc>
          <w:tcPr>
            <w:tcW w:w="361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Recorded status</w:t>
            </w:r>
          </w:p>
        </w:tc>
      </w:tr>
      <w:tr>
        <w:trPr>
          <w:cantSplit/>
        </w:trPr>
        <w:tc>
          <w:tcPr>
            <w:tcW w:w="188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Oracle</w:t>
            </w:r>
          </w:p>
        </w:tc>
        <w:tc>
          <w:tcPr>
            <w:tcW w:w="85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361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29/29 Functional</w:t>
            </w:r>
          </w:p>
        </w:tc>
      </w:tr>
      <w:tr>
        <w:trPr>
          <w:cantSplit/>
        </w:trPr>
        <w:tc>
          <w:tcPr>
            <w:tcW w:w="188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GPT-5.4 mini (high)</w:t>
            </w:r>
          </w:p>
        </w:tc>
        <w:tc>
          <w:tcPr>
            <w:tcW w:w="85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0.5605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0.4286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0.6667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0.8500</w:t>
            </w:r>
          </w:p>
        </w:tc>
        <w:tc>
          <w:tcPr>
            <w:tcW w:w="361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12/29 Functional</w:t>
            </w:r>
          </w:p>
        </w:tc>
      </w:tr>
      <w:tr>
        <w:trPr>
          <w:cantSplit/>
        </w:trPr>
        <w:tc>
          <w:tcPr>
            <w:tcW w:w="188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Gemini 3.7 Flash (high)</w:t>
            </w:r>
          </w:p>
        </w:tc>
        <w:tc>
          <w:tcPr>
            <w:tcW w:w="85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0.7622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0.6703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0.8000</w:t>
            </w:r>
          </w:p>
        </w:tc>
        <w:tc>
          <w:tcPr>
            <w:tcW w:w="361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22/29 Functional</w:t>
            </w:r>
          </w:p>
        </w:tc>
      </w:tr>
      <w:tr>
        <w:trPr>
          <w:cantSplit/>
        </w:trPr>
        <w:tc>
          <w:tcPr>
            <w:tcW w:w="188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Claude Haiku 4.5</w:t>
            </w:r>
          </w:p>
        </w:tc>
        <w:tc>
          <w:tcPr>
            <w:tcW w:w="85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0.2233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0.6667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0.4500</w:t>
            </w:r>
          </w:p>
        </w:tc>
        <w:tc>
          <w:tcPr>
            <w:tcW w:w="361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Functional gate failed; 29 checks skipped</w:t>
            </w:r>
          </w:p>
        </w:tc>
      </w:tr>
      <w:tr>
        <w:trPr>
          <w:cantSplit/>
        </w:trPr>
        <w:tc>
          <w:tcPr>
            <w:tcW w:w="188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No-op control</w:t>
            </w:r>
          </w:p>
        </w:tc>
        <w:tc>
          <w:tcPr>
            <w:tcW w:w="85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361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graded=0; no_op=1</w:t>
            </w:r>
          </w:p>
        </w:tc>
      </w:tr>
    </w:tbl>
    <w:p>
      <w:pPr>
        <w:spacing w:after="95" w:line="250" w:lineRule="auto"/>
      </w:pPr>
      <w:r>
        <w:rPr/>
        <w:t xml:space="preserve"/>
      </w:r>
    </w:p>
    <w:p>
      <w:pPr>
        <w:pStyle w:val="Heading1"/>
        <w:spacing w:after="95" w:line="250" w:lineRule="auto"/>
        <w:keepNext/>
      </w:pPr>
      <w:r>
        <w:rPr/>
        <w:t xml:space="preserve">4. Target-model result: GPT-5.4 mini</w:t>
      </w:r>
    </w:p>
    <w:p>
      <w:pPr>
        <w:spacing w:after="95" w:line="250" w:lineRule="auto"/>
      </w:pPr>
      <w:r>
        <w:rPr/>
        <w:t xml:space="preserve">GPT-5.4 mini with high reasoning completed normally, passed Render and Constraints, and scored 0.5605 overall. Functional was 0.4286 (12/29 criteria; 9.75 of 22.75 weight), Polish 0.6667 and Visual 0.8500. Its official reward is within the 0.10-0.70 target band. The internal 0.50 aspiration is not an additional acceptance restriction.</w:t>
      </w:r>
    </w:p>
    <w:p>
      <w:pPr>
        <w:spacing w:after="95" w:line="250" w:lineRule="auto"/>
      </w:pPr>
      <w:r>
        <w:rPr/>
        <w:t xml:space="preserve">The judge reported unpadded seed markers, incorrect selection/navigation outcomes and block indentation that joined BLOCK-THREE with BLOCK-OUTSIDE. It also credited persistence, chained stale-save conflicts, revision preview/restore, restart durability and the direct API rejection matrix. The run therefore demonstrates substantial implementation alongside reported editing defects.</w:t>
      </w:r>
    </w:p>
    <w:p>
      <w:pPr>
        <w:spacing w:after="95" w:line="250" w:lineRule="auto"/>
      </w:pPr>
      <w:r>
        <w:rPr/>
        <w:t xml:space="preserve">Five editing/persistence criteria also contain incomplete setup or evidence capture. These are not all proven judge mistakes: an app defect may have prevented setup. They were not reproduced against GPT during this preparation. Missing padded seed markers also block dependent tests; failed criteria should not be counted as separate root defects. The recorded score is preserved, not replaced with an estimated corrected score.</w:t>
      </w:r>
    </w:p>
    <w:tbl>
      <w:tblPr>
        <w:tblW w:w="10440" w:type="dxa"/>
        <w:tblLayout w:type="fixed"/>
        <w:tblCellMar>
          <w:top w:w="70" w:type="dxa"/>
          <w:bottom w:w="70" w:type="dxa"/>
          <w:left w:w="70" w:type="dxa"/>
          <w:right w:w="70" w:type="dxa"/>
        </w:tblCellMar>
        <w:tblBorders>
          <w:top w:val="single" w:sz="4" w:color="D8E2EE"/>
          <w:left w:val="single" w:sz="4" w:color="D8E2EE"/>
          <w:bottom w:val="single" w:sz="4" w:color="D8E2EE"/>
          <w:right w:val="single" w:sz="4" w:color="D8E2EE"/>
          <w:insideH w:val="single" w:sz="4" w:color="D8E2EE"/>
          <w:insideV w:val="single" w:sz="4" w:color="D8E2EE"/>
        </w:tblBorders>
      </w:tblPr>
      <w:tblGrid>
        <w:gridCol w:w="4200"/>
        <w:gridCol w:w="6240"/>
      </w:tblGrid>
      <w:tr>
        <w:trPr>
          <w:cantSplit/>
          <w:tblHeader/>
        </w:trPr>
        <w:tc>
          <w:tcPr>
            <w:tcW w:w="420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7"/>
                <w:b/>
                <w:color w:val="FFFFFF"/>
              </w:rPr>
              <w:t xml:space="preserve">Recorded criterion</w:t>
            </w:r>
          </w:p>
        </w:tc>
        <w:tc>
          <w:tcPr>
            <w:tcW w:w="624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7"/>
                <w:b/>
                <w:color w:val="FFFFFF"/>
              </w:rPr>
              <w:t xml:space="preserve">Evidence limitation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edit save reload and fresh client</w:t>
            </w:r>
          </w:p>
        </w:tc>
        <w:tc>
          <w:tcPr>
            <w:tcW w:w="62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The marker saved and reloaded, but the full pre-save draft comparison was not established.</w:t>
            </w:r>
          </w:p>
        </w:tc>
      </w:tr>
      <w:tr>
        <w:trPr>
          <w:cantSplit/>
        </w:trPr>
        <w:tc>
          <w:tcPr>
            <w:tcW w:w="42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backspace delete exact line join</w:t>
            </w:r>
          </w:p>
        </w:tc>
        <w:tc>
          <w:tcPr>
            <w:tcW w:w="62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Two attempts did not establish the required three adjacent lines, so the boundary edits were unverified.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multi caret full typing single undo</w:t>
            </w:r>
          </w:p>
        </w:tc>
        <w:tc>
          <w:tcPr>
            <w:tcW w:w="62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The judge did not establish three visible carets, so typing/Undo/Redo was unverified.</w:t>
            </w:r>
          </w:p>
        </w:tc>
      </w:tr>
      <w:tr>
        <w:trPr>
          <w:cantSplit/>
        </w:trPr>
        <w:tc>
          <w:tcPr>
            <w:tcW w:w="42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multi caret backspace delete sibling</w:t>
            </w:r>
          </w:p>
        </w:tc>
        <w:tc>
          <w:tcPr>
            <w:tcW w:w="62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The judge did not establish the second caret required for deletion.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replace all atomic history and branch</w:t>
            </w:r>
          </w:p>
        </w:tc>
        <w:tc>
          <w:tcPr>
            <w:tcW w:w="62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Replace All and single Undo/Redo worked, but the branch insertion and Redo invalidation checkpoint were not established.</w:t>
            </w:r>
          </w:p>
        </w:tc>
      </w:tr>
    </w:tbl>
    <w:p>
      <w:pPr>
        <w:spacing w:after="95" w:line="250" w:lineRule="auto"/>
      </w:pPr>
      <w:r>
        <w:rPr/>
        <w:t xml:space="preserve"/>
      </w:r>
    </w:p>
    <w:p>
      <w:pPr>
        <w:pStyle w:val="Heading1"/>
        <w:spacing w:after="95" w:line="250" w:lineRule="auto"/>
        <w:keepNext/>
      </w:pPr>
      <w:r>
        <w:rPr/>
        <w:t xml:space="preserve">5. Oracle and comparison runs</w:t>
      </w:r>
    </w:p>
    <w:p>
      <w:pPr>
        <w:spacing w:after="95" w:line="250" w:lineRule="auto"/>
      </w:pPr>
      <w:r>
        <w:rPr/>
        <w:t xml:space="preserve">Oracle scored 1.0000 in every dimension and passed all 41 criteria, including all 29 Functional criteria. The empty-submission control scored 0.0000 with graded=0 and no_op=1. The Oracle source exported by the run matches the packaged golden application.</w:t>
      </w:r>
    </w:p>
    <w:p>
      <w:pPr>
        <w:spacing w:after="95" w:line="250" w:lineRule="auto"/>
      </w:pPr>
      <w:r>
        <w:rPr/>
        <w:t xml:space="preserve">Gemini completed with no trial exception and scored 0.7622. It has no score restriction and is included as comparison evidence. Its judge lost a Restore/Undo checkpoint to a result-assembly error. A focused local browser diagnostic on unchanged source passed revision preview, unsaved Restore and one Undo, while independently reproducing multi-caret typing Undo leaving MULT after typing MULTI. These diagnostics do not change the official score or establish a full regrade.</w:t>
      </w:r>
    </w:p>
    <w:p>
      <w:pPr>
        <w:spacing w:after="95" w:line="250" w:lineRule="auto"/>
      </w:pPr>
      <w:r>
        <w:rPr/>
        <w:t xml:space="preserve">Haiku completed at 0.2233, with Render/Constraints 1.0, Functional 0.0, Polish 0.6667 and Visual 0.45. Functional reported a zero-width/clipped editor and failed its browser gate, skipping all 29 behavior checks. Other dimensions credited Find/preview interactions. Its total is comparison evidence, not 29 independently demonstrated behavioral failures.</w:t>
      </w:r>
    </w:p>
    <w:p>
      <w:pPr>
        <w:pStyle w:val="Heading1"/>
        <w:spacing w:after="95" w:line="250" w:lineRule="auto"/>
        <w:keepNext/>
      </w:pPr>
      <w:r>
        <w:rPr/>
        <w:t xml:space="preserve">6. What these results support</w:t>
      </w:r>
    </w:p>
    <w:p>
      <w:pPr>
        <w:spacing w:after="95" w:line="250" w:lineRule="auto"/>
      </w:pPr>
      <w:r>
        <w:rPr/>
        <w:t xml:space="preserve">The official Oracle-to-GPT gap is 0.4395. Oracle completed all Functional requirements; GPT received stronger presentation scores than Functional scores. This supports reporting a useful measured separation for the target model, while the identified evidence gaps limit causal claims about individual failures. One trial per model is not a repeatability study or complete fairness certification.</w:t>
      </w:r>
    </w:p>
    <w:p>
      <w:pPr>
        <w:pStyle w:val="Heading1"/>
        <w:spacing w:after="95" w:line="250" w:lineRule="auto"/>
        <w:keepNext/>
      </w:pPr>
      <w:r>
        <w:rPr/>
        <w:t xml:space="preserve">Delivery and provenance</w:t>
      </w:r>
    </w:p>
    <w:p>
      <w:pPr>
        <w:spacing w:after="95" w:line="250" w:lineRule="auto"/>
      </w:pPr>
      <w:r>
        <w:rPr/>
        <w:t xml:space="preserve">The final folder follows the supplied seven-file delivery layout: unchanged task ZIP, Oracle/no-op job-directory ZIP, GPT-mini job-directory ZIP, Gemini job-directory ZIP, Haiku job-directory ZIP, this case study and the companion evaluation report. Job exports preserve recorded scores, criterion reasons, source and trajectories. Runtime databases and caches are excluded; sanitization is packaging-only.</w:t>
      </w:r>
    </w:p>
    <w:p>
      <w:pPr>
        <w:spacing w:after="95" w:line="250" w:lineRule="auto"/>
      </w:pPr>
      <w:r>
        <w:rPr/>
        <w:t xml:space="preserve">All five trials share task checksum 132a2f0fb7ae8e5a9a02f154fe7d5de1d2c232c7aaf45e3e3f0c5d057dc9f659. All logged verifier hashes match the packaged source. All 32 task archive files match current source; the task ZIP checksum is a3511a525675554aaa1ee89b5e77fb69ad4f7a94a1fc68b7d137bc39053439a6.</w:t>
      </w:r>
    </w:p>
    <w:p>
      <w:pPr>
        <w:spacing w:after="95" w:line="250" w:lineRule="auto"/>
      </w:pPr>
      <w:r>
        <w:rPr/>
        <w:t xml:space="preserve">No deliberate cheating was found in the reviewed source and builder trajectories. The scan found no matching credential tokens or grader-directed tampering. This is a scoped assessment, not an absolute guarantee. Native judge action traces and a platform QC report were not present in the supplied exports. Packaging does not claim either has been produced.</w:t>
      </w:r>
    </w:p>
    <w:p>
      <w:pPr>
        <w:spacing w:after="95" w:line="250" w:lineRule="auto"/>
      </w:pPr>
      <w:r>
        <w:rPr/>
        <w:t xml:space="preserve">The user authorized this final package after review of GPT evidence gaps. Scores and requirements remain unchanged; Gemini is not subject to the target score band. The evaluation report contains every criterion outcome and the recorded failure explanations, with an index to the included jobs.</w:t>
      </w:r>
    </w:p>
    <w:sectPr>
      <w:pgSz w:w="12240" w:h="15840"/>
      <w:pgMar w:top="850" w:right="900" w:bottom="850" w:left="900" w:header="400" w:footer="40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ns0:coreProperties xmlns:dc="http://purl.org/dc/elements/1.1/" xmlns:ns0="http://schemas.openxmlformats.org/package/2006/metadata/core-properties">
  <dc:title>Case Study - PatchPad Editor v3</dc:title>
  <dc:creator>PatchPad task delivery</dc:creator>
  <dc:description>Recorded platform run results; prepared 13 September 2026. Completed Oracle, GPT-mini, Gemini and Haiku exports.</dc:description>
</ns0:coreProperties>
</file>